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ind w:firstLine="562"/>
        <w:jc w:val="right"/>
        <w:rPr>
          <w:rFonts w:ascii="楷体" w:hAnsi="楷体" w:eastAsia="楷体" w:cs="宋体"/>
          <w:b/>
          <w:bCs/>
          <w:sz w:val="28"/>
          <w:szCs w:val="28"/>
        </w:rPr>
      </w:pPr>
    </w:p>
    <w:p>
      <w:pPr>
        <w:adjustRightInd w:val="0"/>
        <w:snapToGrid w:val="0"/>
        <w:spacing w:line="240" w:lineRule="auto"/>
        <w:ind w:firstLine="562"/>
        <w:jc w:val="right"/>
        <w:rPr>
          <w:rFonts w:ascii="楷体" w:hAnsi="楷体" w:eastAsia="楷体" w:cs="宋体"/>
          <w:b/>
          <w:bCs/>
          <w:sz w:val="28"/>
          <w:szCs w:val="28"/>
        </w:rPr>
      </w:pPr>
    </w:p>
    <w:p>
      <w:pPr>
        <w:spacing w:line="360" w:lineRule="auto"/>
        <w:ind w:firstLine="643"/>
        <w:jc w:val="right"/>
        <w:rPr>
          <w:rFonts w:hAnsi="宋体"/>
          <w:b/>
          <w:szCs w:val="32"/>
        </w:rPr>
      </w:pPr>
    </w:p>
    <w:p>
      <w:pPr>
        <w:ind w:firstLine="0" w:firstLineChars="0"/>
        <w:jc w:val="center"/>
        <w:rPr>
          <w:rFonts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中共甘肃省委机构编制委员会办公室</w:t>
      </w:r>
    </w:p>
    <w:p>
      <w:pPr>
        <w:ind w:firstLine="0" w:firstLineChars="0"/>
        <w:jc w:val="center"/>
        <w:rPr>
          <w:rFonts w:ascii="方正小标宋简体" w:hAnsi="方正小标宋简体" w:eastAsia="方正小标宋简体" w:cs="方正小标宋简体"/>
          <w:b/>
          <w:sz w:val="48"/>
          <w:szCs w:val="48"/>
        </w:rPr>
      </w:pPr>
      <w:r>
        <w:rPr>
          <w:rFonts w:hint="eastAsia" w:ascii="方正小标宋简体" w:hAnsi="方正小标宋简体" w:eastAsia="方正小标宋简体" w:cs="方正小标宋简体"/>
          <w:b/>
          <w:sz w:val="48"/>
          <w:szCs w:val="48"/>
        </w:rPr>
        <w:t>2020年专项业务费项目支出</w:t>
      </w:r>
    </w:p>
    <w:p>
      <w:pPr>
        <w:ind w:firstLine="0" w:firstLineChars="0"/>
        <w:jc w:val="center"/>
        <w:rPr>
          <w:rFonts w:ascii="方正小标宋简体" w:hAnsi="方正小标宋简体" w:eastAsia="方正小标宋简体" w:cs="方正小标宋简体"/>
          <w:b/>
          <w:bCs/>
          <w:sz w:val="48"/>
          <w:szCs w:val="48"/>
        </w:rPr>
      </w:pPr>
      <w:r>
        <w:rPr>
          <w:rFonts w:hint="eastAsia" w:ascii="方正小标宋简体" w:hAnsi="方正小标宋简体" w:eastAsia="方正小标宋简体" w:cs="方正小标宋简体"/>
          <w:b/>
          <w:bCs/>
          <w:sz w:val="48"/>
          <w:szCs w:val="48"/>
        </w:rPr>
        <w:t>绩效评价报告</w:t>
      </w:r>
    </w:p>
    <w:p/>
    <w:p/>
    <w:p/>
    <w:p/>
    <w:p/>
    <w:p/>
    <w:p>
      <w:pPr>
        <w:spacing w:line="578" w:lineRule="exact"/>
        <w:ind w:left="2560" w:hanging="2560" w:hangingChars="800"/>
        <w:rPr>
          <w:rFonts w:hAnsi="仿宋" w:cs="仿宋"/>
          <w:szCs w:val="32"/>
          <w:u w:val="single"/>
        </w:rPr>
      </w:pPr>
      <w:r>
        <w:rPr>
          <w:rFonts w:hint="eastAsia" w:hAnsi="仿宋" w:cs="仿宋"/>
          <w:color w:val="FF0000"/>
          <w:szCs w:val="32"/>
        </w:rPr>
        <w:t xml:space="preserve">  </w:t>
      </w:r>
      <w:r>
        <w:rPr>
          <w:rFonts w:hint="eastAsia" w:hAnsi="仿宋" w:cs="仿宋"/>
          <w:szCs w:val="32"/>
        </w:rPr>
        <w:t xml:space="preserve">项 目 名 称： </w:t>
      </w:r>
      <w:r>
        <w:rPr>
          <w:rFonts w:hint="eastAsia" w:hAnsi="仿宋" w:cs="仿宋"/>
          <w:szCs w:val="32"/>
          <w:u w:val="single"/>
        </w:rPr>
        <w:t xml:space="preserve">中共甘肃省委机构编制委员会办公室   </w:t>
      </w:r>
    </w:p>
    <w:p>
      <w:pPr>
        <w:spacing w:line="578" w:lineRule="exact"/>
        <w:ind w:firstLine="2560" w:firstLineChars="800"/>
        <w:rPr>
          <w:rFonts w:hAnsi="仿宋" w:cs="仿宋"/>
          <w:szCs w:val="32"/>
        </w:rPr>
      </w:pPr>
      <w:r>
        <w:rPr>
          <w:rFonts w:hint="eastAsia" w:hAnsi="仿宋" w:cs="仿宋"/>
          <w:szCs w:val="32"/>
          <w:u w:val="single"/>
        </w:rPr>
        <w:t xml:space="preserve">2020年专项业务费项目             </w:t>
      </w:r>
      <w:r>
        <w:rPr>
          <w:rFonts w:hAnsi="仿宋" w:cs="仿宋"/>
          <w:szCs w:val="32"/>
          <w:u w:val="single"/>
        </w:rPr>
        <w:t xml:space="preserve"> </w:t>
      </w:r>
      <w:r>
        <w:rPr>
          <w:rFonts w:hint="eastAsia" w:hAnsi="仿宋" w:cs="仿宋"/>
          <w:szCs w:val="32"/>
          <w:u w:val="single"/>
        </w:rPr>
        <w:t xml:space="preserve"> </w:t>
      </w:r>
    </w:p>
    <w:p>
      <w:pPr>
        <w:spacing w:line="578" w:lineRule="exact"/>
        <w:ind w:left="1600" w:hanging="1600" w:hangingChars="500"/>
        <w:rPr>
          <w:rFonts w:hAnsi="仿宋" w:cs="仿宋"/>
          <w:szCs w:val="32"/>
          <w:u w:val="single"/>
        </w:rPr>
      </w:pPr>
      <w:r>
        <w:rPr>
          <w:rFonts w:hint="eastAsia" w:hAnsi="仿宋" w:cs="仿宋"/>
          <w:szCs w:val="32"/>
        </w:rPr>
        <w:t xml:space="preserve">  项目主管部门：</w:t>
      </w:r>
      <w:r>
        <w:rPr>
          <w:rFonts w:hint="eastAsia" w:hAnsi="仿宋" w:cs="仿宋"/>
          <w:szCs w:val="32"/>
          <w:u w:val="single"/>
        </w:rPr>
        <w:t xml:space="preserve">中共甘肃省委机构编制委员会办公室   </w:t>
      </w:r>
    </w:p>
    <w:p>
      <w:pPr>
        <w:spacing w:line="578" w:lineRule="exact"/>
        <w:ind w:firstLine="0" w:firstLineChars="0"/>
        <w:rPr>
          <w:rFonts w:hAnsi="仿宋" w:cs="仿宋"/>
          <w:szCs w:val="32"/>
        </w:rPr>
      </w:pPr>
      <w:r>
        <w:rPr>
          <w:rFonts w:hint="eastAsia" w:hAnsi="仿宋" w:cs="仿宋"/>
          <w:szCs w:val="32"/>
        </w:rPr>
        <w:t xml:space="preserve">  评价实施部门：</w:t>
      </w:r>
      <w:r>
        <w:rPr>
          <w:rFonts w:hint="eastAsia" w:hAnsi="仿宋" w:cs="仿宋"/>
          <w:szCs w:val="32"/>
          <w:u w:val="single"/>
        </w:rPr>
        <w:t xml:space="preserve">中共甘肃省委机构编制委员会办公室   </w:t>
      </w:r>
    </w:p>
    <w:p>
      <w:pPr>
        <w:spacing w:line="578" w:lineRule="exact"/>
        <w:ind w:left="1600" w:hanging="1600" w:hangingChars="500"/>
        <w:rPr>
          <w:rFonts w:hAnsi="仿宋" w:cs="仿宋"/>
          <w:szCs w:val="32"/>
        </w:rPr>
      </w:pPr>
      <w:r>
        <w:rPr>
          <w:rFonts w:hint="eastAsia" w:hAnsi="仿宋" w:cs="仿宋"/>
          <w:szCs w:val="32"/>
        </w:rPr>
        <w:t xml:space="preserve"> </w:t>
      </w:r>
      <w:r>
        <w:rPr>
          <w:rFonts w:hAnsi="仿宋" w:cs="仿宋"/>
          <w:szCs w:val="32"/>
        </w:rPr>
        <w:t xml:space="preserve"> </w:t>
      </w:r>
      <w:r>
        <w:rPr>
          <w:rFonts w:hint="eastAsia" w:hAnsi="仿宋" w:cs="仿宋"/>
          <w:szCs w:val="32"/>
        </w:rPr>
        <w:t>评价机构名称：</w:t>
      </w:r>
      <w:r>
        <w:rPr>
          <w:rFonts w:hint="eastAsia" w:hAnsi="仿宋" w:cs="仿宋"/>
          <w:szCs w:val="32"/>
          <w:u w:val="single"/>
        </w:rPr>
        <w:t xml:space="preserve">甘肃瑞华鑫财财务管理咨询有限公司   </w:t>
      </w:r>
    </w:p>
    <w:p>
      <w:pPr>
        <w:spacing w:line="578" w:lineRule="exact"/>
        <w:ind w:firstLine="0" w:firstLineChars="0"/>
        <w:rPr>
          <w:rFonts w:hAnsi="仿宋" w:cs="仿宋"/>
          <w:color w:val="FF0000"/>
          <w:szCs w:val="32"/>
        </w:rPr>
      </w:pPr>
    </w:p>
    <w:p>
      <w:pPr>
        <w:spacing w:line="578" w:lineRule="exact"/>
        <w:ind w:firstLine="0" w:firstLineChars="0"/>
        <w:rPr>
          <w:rFonts w:hAnsi="仿宋" w:cs="仿宋"/>
          <w:color w:val="FF0000"/>
          <w:szCs w:val="32"/>
        </w:rPr>
      </w:pPr>
    </w:p>
    <w:p>
      <w:pPr>
        <w:spacing w:line="578" w:lineRule="exact"/>
        <w:ind w:firstLine="0" w:firstLineChars="0"/>
        <w:rPr>
          <w:rFonts w:hAnsi="仿宋" w:cs="仿宋"/>
          <w:color w:val="FF0000"/>
          <w:szCs w:val="32"/>
        </w:rPr>
      </w:pPr>
    </w:p>
    <w:p>
      <w:pPr>
        <w:spacing w:line="578" w:lineRule="exact"/>
        <w:ind w:firstLine="0" w:firstLineChars="0"/>
        <w:rPr>
          <w:rFonts w:hAnsi="仿宋" w:cs="仿宋"/>
          <w:color w:val="FF0000"/>
          <w:szCs w:val="32"/>
        </w:rPr>
      </w:pPr>
    </w:p>
    <w:p>
      <w:pPr>
        <w:spacing w:line="578" w:lineRule="exact"/>
        <w:ind w:firstLine="0" w:firstLineChars="0"/>
        <w:jc w:val="center"/>
        <w:rPr>
          <w:rFonts w:hAnsi="仿宋" w:cs="仿宋"/>
          <w:b/>
          <w:bCs/>
          <w:szCs w:val="32"/>
        </w:rPr>
      </w:pPr>
      <w:r>
        <w:rPr>
          <w:rFonts w:hint="eastAsia" w:hAnsi="仿宋" w:cs="仿宋"/>
          <w:b/>
          <w:bCs/>
          <w:szCs w:val="32"/>
        </w:rPr>
        <w:t>2021</w:t>
      </w:r>
      <w:r>
        <w:rPr>
          <w:rFonts w:hAnsi="仿宋" w:cs="仿宋"/>
          <w:b/>
          <w:bCs/>
          <w:szCs w:val="32"/>
        </w:rPr>
        <w:t>年</w:t>
      </w:r>
      <w:r>
        <w:rPr>
          <w:rFonts w:hint="eastAsia" w:hAnsi="仿宋" w:cs="仿宋"/>
          <w:b/>
          <w:bCs/>
          <w:szCs w:val="32"/>
        </w:rPr>
        <w:t>6月</w:t>
      </w:r>
    </w:p>
    <w:p>
      <w:p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docGrid w:type="lines" w:linePitch="312" w:charSpace="0"/>
        </w:sectPr>
      </w:pPr>
    </w:p>
    <w:p>
      <w:pPr>
        <w:spacing w:line="360" w:lineRule="auto"/>
        <w:ind w:firstLine="0" w:firstLineChars="0"/>
        <w:jc w:val="center"/>
        <w:outlineLvl w:val="0"/>
        <w:rPr>
          <w:rFonts w:ascii="黑体" w:hAnsi="黑体" w:eastAsia="黑体"/>
          <w:b/>
          <w:bCs/>
          <w:sz w:val="44"/>
          <w:szCs w:val="44"/>
        </w:rPr>
      </w:pPr>
      <w:bookmarkStart w:id="0" w:name="_Toc25791"/>
      <w:bookmarkStart w:id="1" w:name="_Toc30998"/>
      <w:bookmarkStart w:id="2" w:name="_Toc29481"/>
      <w:bookmarkStart w:id="3" w:name="_Toc5332"/>
      <w:bookmarkStart w:id="4" w:name="_Toc14504"/>
      <w:bookmarkStart w:id="5" w:name="_Toc6182"/>
      <w:bookmarkStart w:id="6" w:name="_Toc25098"/>
      <w:bookmarkStart w:id="7" w:name="_Toc13312"/>
      <w:bookmarkStart w:id="8" w:name="_Toc25778"/>
      <w:bookmarkStart w:id="9" w:name="_Toc29293"/>
      <w:bookmarkStart w:id="10" w:name="_Toc29502"/>
      <w:bookmarkStart w:id="11" w:name="_Toc5750"/>
      <w:bookmarkStart w:id="12" w:name="_Toc4253"/>
      <w:bookmarkStart w:id="13" w:name="_Toc18742"/>
      <w:r>
        <w:rPr>
          <w:rFonts w:hint="eastAsia" w:ascii="黑体" w:hAnsi="黑体" w:eastAsia="黑体"/>
          <w:b/>
          <w:bCs/>
          <w:sz w:val="44"/>
          <w:szCs w:val="44"/>
        </w:rPr>
        <w:fldChar w:fldCharType="begin"/>
      </w:r>
      <w:r>
        <w:rPr>
          <w:rFonts w:hint="eastAsia" w:ascii="黑体" w:hAnsi="黑体" w:eastAsia="黑体"/>
          <w:b/>
          <w:bCs/>
          <w:sz w:val="44"/>
          <w:szCs w:val="44"/>
        </w:rPr>
        <w:instrText xml:space="preserve"> HYPERLINK \l _Toc29392 </w:instrText>
      </w:r>
      <w:r>
        <w:rPr>
          <w:rFonts w:hint="eastAsia" w:ascii="黑体" w:hAnsi="黑体" w:eastAsia="黑体"/>
          <w:b/>
          <w:bCs/>
          <w:sz w:val="44"/>
          <w:szCs w:val="44"/>
        </w:rPr>
        <w:fldChar w:fldCharType="separate"/>
      </w:r>
      <w:r>
        <w:rPr>
          <w:rFonts w:hint="eastAsia" w:ascii="黑体" w:hAnsi="黑体" w:eastAsia="黑体"/>
          <w:b/>
          <w:bCs/>
          <w:sz w:val="44"/>
          <w:szCs w:val="44"/>
        </w:rPr>
        <w:t>摘  要</w:t>
      </w:r>
      <w:r>
        <w:rPr>
          <w:rFonts w:hint="eastAsia" w:ascii="黑体" w:hAnsi="黑体" w:eastAsia="黑体"/>
          <w:b/>
          <w:bCs/>
          <w:sz w:val="44"/>
          <w:szCs w:val="44"/>
        </w:rPr>
        <w:fldChar w:fldCharType="end"/>
      </w:r>
      <w:bookmarkEnd w:id="0"/>
      <w:bookmarkEnd w:id="1"/>
      <w:bookmarkEnd w:id="2"/>
      <w:bookmarkEnd w:id="3"/>
      <w:bookmarkEnd w:id="4"/>
      <w:bookmarkEnd w:id="5"/>
      <w:bookmarkEnd w:id="6"/>
      <w:bookmarkEnd w:id="7"/>
    </w:p>
    <w:bookmarkEnd w:id="8"/>
    <w:p>
      <w:pPr>
        <w:spacing w:line="360" w:lineRule="auto"/>
      </w:pPr>
    </w:p>
    <w:p>
      <w:pPr>
        <w:spacing w:line="360" w:lineRule="auto"/>
      </w:pPr>
      <w:r>
        <w:rPr>
          <w:rFonts w:hint="eastAsia"/>
        </w:rPr>
        <w:t>为进一步规范中</w:t>
      </w:r>
      <w:r>
        <w:t>共</w:t>
      </w:r>
      <w:r>
        <w:rPr>
          <w:rFonts w:hint="eastAsia"/>
        </w:rPr>
        <w:t>甘肃省委机构编制委员会办公室2020年专项业务费项目的实施，提高财政资金使用绩效和管理水平，最大限度地发挥资金的综合效益，根据甘肃省委、省政府《关于全面实施预算绩效管理的实施意见》（甘发〔2018〕32号）及《甘肃省财政厅关于开展2020年度省级预算执行情况绩效部门评价和财政评价工作的通知》（甘财绩〔2021〕4号）等文件要求，中</w:t>
      </w:r>
      <w:r>
        <w:t>共</w:t>
      </w:r>
      <w:r>
        <w:rPr>
          <w:rFonts w:hint="eastAsia"/>
        </w:rPr>
        <w:t>甘肃省委机构编制委员会办公室委托第三方机构对2020年专项业务费项目开展了绩效评价。</w:t>
      </w:r>
    </w:p>
    <w:p>
      <w:pPr>
        <w:spacing w:line="360" w:lineRule="auto"/>
        <w:ind w:firstLine="684"/>
        <w:rPr>
          <w:rFonts w:cs="仿宋_GB2312"/>
          <w:szCs w:val="32"/>
        </w:rPr>
      </w:pPr>
      <w:r>
        <w:rPr>
          <w:rFonts w:hint="eastAsia" w:cs="仿宋_GB2312"/>
          <w:spacing w:val="11"/>
          <w:szCs w:val="32"/>
        </w:rPr>
        <w:t>项目</w:t>
      </w:r>
      <w:r>
        <w:rPr>
          <w:rFonts w:hint="eastAsia" w:cs="仿宋_GB2312"/>
        </w:rPr>
        <w:t>绩效评价得分结果主要依据绩效评价指标体系，基于项目单位提供的佐证材料，以及第三方机构工作人员就项目</w:t>
      </w:r>
      <w:r>
        <w:rPr>
          <w:rFonts w:hint="eastAsia" w:cs="仿宋_GB2312"/>
          <w:szCs w:val="32"/>
        </w:rPr>
        <w:t>现场了解的情况、获取的信息，严格按照评分标准进行了打分，项目综合评价得分为</w:t>
      </w:r>
      <w:r>
        <w:rPr>
          <w:rFonts w:hint="eastAsia" w:cs="仿宋_GB2312"/>
          <w:b/>
          <w:bCs/>
          <w:szCs w:val="32"/>
        </w:rPr>
        <w:t>94.7分</w:t>
      </w:r>
      <w:r>
        <w:rPr>
          <w:rFonts w:hint="eastAsia" w:cs="仿宋_GB2312"/>
          <w:szCs w:val="32"/>
        </w:rPr>
        <w:t>，根据《财政部关于印发&lt;项目支出绩效评价管理办法&gt;的通知》（财预〔2020〕10号）规定，绩效评价结果等级为：</w:t>
      </w:r>
      <w:r>
        <w:rPr>
          <w:rFonts w:hint="eastAsia" w:cs="仿宋_GB2312"/>
          <w:b/>
          <w:bCs/>
          <w:szCs w:val="32"/>
        </w:rPr>
        <w:t>优</w:t>
      </w:r>
      <w:r>
        <w:rPr>
          <w:rFonts w:hint="eastAsia" w:cs="仿宋_GB2312"/>
          <w:szCs w:val="32"/>
        </w:rPr>
        <w:t>。</w:t>
      </w:r>
    </w:p>
    <w:p>
      <w:pPr>
        <w:spacing w:line="360" w:lineRule="auto"/>
      </w:pPr>
      <w:r>
        <w:rPr>
          <w:rFonts w:hint="eastAsia" w:cs="仿宋_GB2312"/>
        </w:rPr>
        <w:t>总体认为：中</w:t>
      </w:r>
      <w:r>
        <w:rPr>
          <w:rFonts w:cs="仿宋_GB2312"/>
        </w:rPr>
        <w:t>共</w:t>
      </w:r>
      <w:r>
        <w:rPr>
          <w:rFonts w:hint="eastAsia" w:cs="仿宋_GB2312"/>
        </w:rPr>
        <w:t>甘肃省委机构编制委员会办公室2020年专项业务费项目申报依据充分，申报程序规范，绩效目标依据充分，绩效指标清晰、可衡量，项目管理制度和财务管理制度健全且管理规范，政府采购合规，资金使用合规，不存在截留、挤占、挪用、虚列支出等情况，会计信息真实完整，项目产出和效益达到预期目标。但同时存在预算编制的科学性和精细化水平有待提高，与做好机构改革“后半篇文章”有一定的差距，项目档案管理不够规范等问题。</w:t>
      </w:r>
    </w:p>
    <w:p>
      <w:r>
        <w:rPr>
          <w:rFonts w:hint="eastAsia"/>
        </w:rPr>
        <w:br w:type="page"/>
      </w:r>
    </w:p>
    <w:bookmarkEnd w:id="9"/>
    <w:bookmarkEnd w:id="10"/>
    <w:bookmarkEnd w:id="11"/>
    <w:bookmarkEnd w:id="12"/>
    <w:bookmarkEnd w:id="13"/>
    <w:p>
      <w:pPr>
        <w:ind w:firstLine="0" w:firstLineChars="0"/>
        <w:jc w:val="center"/>
        <w:outlineLvl w:val="0"/>
        <w:rPr>
          <w:rFonts w:ascii="黑体" w:hAnsi="黑体" w:eastAsia="黑体" w:cs="黑体"/>
          <w:b/>
          <w:bCs/>
          <w:sz w:val="44"/>
          <w:szCs w:val="44"/>
        </w:rPr>
      </w:pPr>
      <w:bookmarkStart w:id="14" w:name="_Toc29647"/>
      <w:bookmarkStart w:id="15" w:name="_Toc231"/>
      <w:bookmarkStart w:id="16" w:name="_Toc18555"/>
      <w:bookmarkStart w:id="17" w:name="_Toc19146"/>
      <w:bookmarkStart w:id="18" w:name="_Toc10209"/>
      <w:bookmarkStart w:id="19" w:name="_Toc9214"/>
      <w:bookmarkStart w:id="20" w:name="_Toc12960"/>
      <w:bookmarkStart w:id="21" w:name="_Toc21055"/>
      <w:bookmarkStart w:id="22" w:name="_Toc4028"/>
      <w:r>
        <w:rPr>
          <w:rFonts w:hint="eastAsia" w:ascii="黑体" w:hAnsi="黑体" w:eastAsia="黑体" w:cs="黑体"/>
          <w:b/>
          <w:bCs/>
          <w:sz w:val="44"/>
          <w:szCs w:val="44"/>
        </w:rPr>
        <w:t>目  录</w:t>
      </w:r>
      <w:bookmarkEnd w:id="14"/>
      <w:bookmarkEnd w:id="15"/>
      <w:bookmarkEnd w:id="16"/>
      <w:bookmarkEnd w:id="17"/>
      <w:bookmarkEnd w:id="18"/>
      <w:bookmarkEnd w:id="19"/>
      <w:bookmarkEnd w:id="20"/>
      <w:bookmarkEnd w:id="21"/>
    </w:p>
    <w:bookmarkEnd w:id="22"/>
    <w:sdt>
      <w:sdtPr>
        <w:rPr>
          <w:rFonts w:ascii="宋体" w:hAnsi="宋体" w:eastAsia="宋体"/>
          <w:sz w:val="21"/>
        </w:rPr>
        <w:id w:val="147452768"/>
        <w15:color w:val="DBDBDB"/>
        <w:docPartObj>
          <w:docPartGallery w:val="Table of Contents"/>
          <w:docPartUnique/>
        </w:docPartObj>
      </w:sdtPr>
      <w:sdtEndPr>
        <w:rPr>
          <w:rFonts w:hint="eastAsia" w:ascii="仿宋_GB2312" w:hAnsi="仿宋_GB2312" w:eastAsia="仿宋_GB2312"/>
          <w:sz w:val="32"/>
        </w:rPr>
      </w:sdtEndPr>
      <w:sdtContent>
        <w:p>
          <w:pPr>
            <w:spacing w:line="240" w:lineRule="auto"/>
            <w:ind w:firstLine="0" w:firstLineChars="0"/>
            <w:jc w:val="center"/>
          </w:pPr>
          <w:r>
            <w:rPr>
              <w:rFonts w:hint="eastAsia"/>
            </w:rPr>
            <w:fldChar w:fldCharType="begin"/>
          </w:r>
          <w:r>
            <w:rPr>
              <w:rFonts w:hint="eastAsia"/>
            </w:rPr>
            <w:instrText xml:space="preserve">TOC \o "1-2" \h \u </w:instrText>
          </w:r>
          <w:r>
            <w:rPr>
              <w:rFonts w:hint="eastAsia"/>
            </w:rPr>
            <w:fldChar w:fldCharType="separate"/>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"_Toc20117" </w:instrText>
          </w:r>
          <w:r>
            <w:fldChar w:fldCharType="separate"/>
          </w:r>
          <w:r>
            <w:rPr>
              <w:rFonts w:hint="eastAsia" w:ascii="黑体" w:hAnsi="黑体" w:eastAsia="黑体" w:cs="黑体"/>
              <w:b/>
              <w:bCs/>
              <w:sz w:val="28"/>
              <w:szCs w:val="28"/>
            </w:rPr>
            <w:t>一、项目基本情况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_Toc20117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"_Toc25857" </w:instrText>
          </w:r>
          <w:r>
            <w:fldChar w:fldCharType="separate"/>
          </w:r>
          <w:r>
            <w:rPr>
              <w:rFonts w:hint="eastAsia" w:ascii="黑体" w:hAnsi="黑体" w:eastAsia="黑体" w:cs="黑体"/>
              <w:b/>
              <w:bCs/>
              <w:sz w:val="28"/>
              <w:szCs w:val="28"/>
            </w:rPr>
            <w:t>（一）项目立项背景</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_Toc25857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"_Toc21230" </w:instrText>
          </w:r>
          <w:r>
            <w:fldChar w:fldCharType="separate"/>
          </w:r>
          <w:r>
            <w:rPr>
              <w:rFonts w:hint="eastAsia" w:ascii="黑体" w:hAnsi="黑体" w:eastAsia="黑体" w:cs="黑体"/>
              <w:b/>
              <w:bCs/>
              <w:sz w:val="28"/>
              <w:szCs w:val="28"/>
            </w:rPr>
            <w:t>（二）项目预算安排及使用情况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_Toc21230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"_Toc11527" </w:instrText>
          </w:r>
          <w:r>
            <w:fldChar w:fldCharType="separate"/>
          </w:r>
          <w:r>
            <w:rPr>
              <w:rFonts w:hint="eastAsia" w:ascii="黑体" w:hAnsi="黑体" w:eastAsia="黑体" w:cs="黑体"/>
              <w:b/>
              <w:bCs/>
              <w:sz w:val="28"/>
              <w:szCs w:val="28"/>
            </w:rPr>
            <w:t>（三）项目计划内容及实施情况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_Toc11527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"_Toc10783" </w:instrText>
          </w:r>
          <w:r>
            <w:fldChar w:fldCharType="separate"/>
          </w:r>
          <w:r>
            <w:rPr>
              <w:rFonts w:hint="eastAsia" w:ascii="黑体" w:hAnsi="黑体" w:eastAsia="黑体" w:cs="黑体"/>
              <w:b/>
              <w:bCs/>
              <w:sz w:val="28"/>
              <w:szCs w:val="28"/>
            </w:rPr>
            <w:t>二、项目绩效目标</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_Toc10783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4</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"_Toc27743" </w:instrText>
          </w:r>
          <w:r>
            <w:fldChar w:fldCharType="separate"/>
          </w:r>
          <w:r>
            <w:rPr>
              <w:rFonts w:hint="eastAsia" w:ascii="黑体" w:hAnsi="黑体" w:eastAsia="黑体" w:cs="黑体"/>
              <w:b/>
              <w:bCs/>
              <w:sz w:val="28"/>
              <w:szCs w:val="28"/>
            </w:rPr>
            <w:t>（一）项目总目标</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_Toc27743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4</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"_Toc9722" </w:instrText>
          </w:r>
          <w:r>
            <w:fldChar w:fldCharType="separate"/>
          </w:r>
          <w:r>
            <w:rPr>
              <w:rFonts w:hint="eastAsia" w:ascii="黑体" w:hAnsi="黑体" w:eastAsia="黑体" w:cs="黑体"/>
              <w:b/>
              <w:bCs/>
              <w:sz w:val="28"/>
              <w:szCs w:val="28"/>
            </w:rPr>
            <w:t>（二）项目年度绩效目标</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_Toc9722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4</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"_Toc12611" </w:instrText>
          </w:r>
          <w:r>
            <w:fldChar w:fldCharType="separate"/>
          </w:r>
          <w:r>
            <w:rPr>
              <w:rFonts w:hint="eastAsia" w:ascii="黑体" w:hAnsi="黑体" w:eastAsia="黑体" w:cs="黑体"/>
              <w:b/>
              <w:bCs/>
              <w:sz w:val="28"/>
              <w:szCs w:val="28"/>
            </w:rPr>
            <w:t>三、评价基本情况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_Toc12611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5</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"_Toc31625" </w:instrText>
          </w:r>
          <w:r>
            <w:fldChar w:fldCharType="separate"/>
          </w:r>
          <w:r>
            <w:rPr>
              <w:rFonts w:hint="eastAsia" w:ascii="黑体" w:hAnsi="黑体" w:eastAsia="黑体" w:cs="黑体"/>
              <w:b/>
              <w:bCs/>
              <w:sz w:val="28"/>
              <w:szCs w:val="28"/>
            </w:rPr>
            <w:t>（一）评价目的</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_Toc31625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5</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"_Toc23300" </w:instrText>
          </w:r>
          <w:r>
            <w:fldChar w:fldCharType="separate"/>
          </w:r>
          <w:r>
            <w:rPr>
              <w:rFonts w:hint="eastAsia" w:ascii="黑体" w:hAnsi="黑体" w:eastAsia="黑体" w:cs="黑体"/>
              <w:b/>
              <w:bCs/>
              <w:sz w:val="28"/>
              <w:szCs w:val="28"/>
            </w:rPr>
            <w:t>（二）评价对象和范围</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_Toc23300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5</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"_Toc14749" </w:instrText>
          </w:r>
          <w:r>
            <w:fldChar w:fldCharType="separate"/>
          </w:r>
          <w:r>
            <w:rPr>
              <w:rFonts w:hint="eastAsia" w:ascii="黑体" w:hAnsi="黑体" w:eastAsia="黑体" w:cs="黑体"/>
              <w:b/>
              <w:bCs/>
              <w:sz w:val="28"/>
              <w:szCs w:val="28"/>
            </w:rPr>
            <w:t>（三）评价依据</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_Toc14749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5</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"_Toc16103" </w:instrText>
          </w:r>
          <w:r>
            <w:fldChar w:fldCharType="separate"/>
          </w:r>
          <w:r>
            <w:rPr>
              <w:rFonts w:hint="eastAsia" w:ascii="黑体" w:hAnsi="黑体" w:eastAsia="黑体" w:cs="黑体"/>
              <w:b/>
              <w:bCs/>
              <w:sz w:val="28"/>
              <w:szCs w:val="28"/>
            </w:rPr>
            <w:t>（四）评价原则</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_Toc16103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6</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"_Toc29781" </w:instrText>
          </w:r>
          <w:r>
            <w:fldChar w:fldCharType="separate"/>
          </w:r>
          <w:r>
            <w:rPr>
              <w:rFonts w:hint="eastAsia" w:ascii="黑体" w:hAnsi="黑体" w:eastAsia="黑体" w:cs="黑体"/>
              <w:b/>
              <w:bCs/>
              <w:sz w:val="28"/>
              <w:szCs w:val="28"/>
            </w:rPr>
            <w:t>（五）评价方法</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_Toc29781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7</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"_Toc25539" </w:instrText>
          </w:r>
          <w:r>
            <w:fldChar w:fldCharType="separate"/>
          </w:r>
          <w:r>
            <w:rPr>
              <w:rFonts w:hint="eastAsia" w:ascii="黑体" w:hAnsi="黑体" w:eastAsia="黑体" w:cs="黑体"/>
              <w:b/>
              <w:bCs/>
              <w:sz w:val="28"/>
              <w:szCs w:val="28"/>
            </w:rPr>
            <w:t>（六）绩效评价指标体系</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_Toc25539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8</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"_Toc24002" </w:instrText>
          </w:r>
          <w:r>
            <w:fldChar w:fldCharType="separate"/>
          </w:r>
          <w:r>
            <w:rPr>
              <w:rFonts w:hint="eastAsia" w:ascii="黑体" w:hAnsi="黑体" w:eastAsia="黑体" w:cs="黑体"/>
              <w:b/>
              <w:bCs/>
              <w:sz w:val="28"/>
              <w:szCs w:val="28"/>
            </w:rPr>
            <w:t>（七）评价人员组成</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_Toc24002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9</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"_Toc4057" </w:instrText>
          </w:r>
          <w:r>
            <w:fldChar w:fldCharType="separate"/>
          </w:r>
          <w:r>
            <w:rPr>
              <w:rFonts w:hint="eastAsia" w:ascii="黑体" w:hAnsi="黑体" w:eastAsia="黑体" w:cs="黑体"/>
              <w:b/>
              <w:bCs/>
              <w:sz w:val="28"/>
              <w:szCs w:val="28"/>
            </w:rPr>
            <w:t>（八）绩效评价工作过程</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_Toc4057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10</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"_Toc28299" </w:instrText>
          </w:r>
          <w:r>
            <w:fldChar w:fldCharType="separate"/>
          </w:r>
          <w:r>
            <w:rPr>
              <w:rFonts w:hint="eastAsia" w:ascii="黑体" w:hAnsi="黑体" w:eastAsia="黑体" w:cs="黑体"/>
              <w:b/>
              <w:bCs/>
              <w:sz w:val="28"/>
              <w:szCs w:val="28"/>
            </w:rPr>
            <w:t>四、评价结论及分析</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_Toc28299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12</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"_Toc13318" </w:instrText>
          </w:r>
          <w:r>
            <w:fldChar w:fldCharType="separate"/>
          </w:r>
          <w:r>
            <w:rPr>
              <w:rFonts w:hint="eastAsia" w:ascii="黑体" w:hAnsi="黑体" w:eastAsia="黑体" w:cs="黑体"/>
              <w:b/>
              <w:bCs/>
              <w:sz w:val="28"/>
              <w:szCs w:val="28"/>
            </w:rPr>
            <w:t>（一）评价评分</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_Toc13318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12</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"_Toc15763" </w:instrText>
          </w:r>
          <w:r>
            <w:fldChar w:fldCharType="separate"/>
          </w:r>
          <w:r>
            <w:rPr>
              <w:rFonts w:hint="eastAsia" w:ascii="黑体" w:hAnsi="黑体" w:eastAsia="黑体" w:cs="黑体"/>
              <w:b/>
              <w:bCs/>
              <w:sz w:val="28"/>
              <w:szCs w:val="28"/>
            </w:rPr>
            <w:t>（二）综合评价情况及评价结论</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_Toc15763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14</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"_Toc22235" </w:instrText>
          </w:r>
          <w:r>
            <w:fldChar w:fldCharType="separate"/>
          </w:r>
          <w:r>
            <w:rPr>
              <w:rFonts w:hint="eastAsia" w:ascii="黑体" w:hAnsi="黑体" w:eastAsia="黑体" w:cs="黑体"/>
              <w:b/>
              <w:bCs/>
              <w:sz w:val="28"/>
              <w:szCs w:val="28"/>
            </w:rPr>
            <w:t>五、绩效评价指标分析</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_Toc22235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16</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"_Toc23910" </w:instrText>
          </w:r>
          <w:r>
            <w:fldChar w:fldCharType="separate"/>
          </w:r>
          <w:r>
            <w:rPr>
              <w:rFonts w:hint="eastAsia" w:ascii="黑体" w:hAnsi="黑体" w:eastAsia="黑体" w:cs="黑体"/>
              <w:b/>
              <w:bCs/>
              <w:sz w:val="28"/>
              <w:szCs w:val="28"/>
            </w:rPr>
            <w:t>（一）项目决策情况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_Toc23910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16</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"_Toc13838" </w:instrText>
          </w:r>
          <w:r>
            <w:fldChar w:fldCharType="separate"/>
          </w:r>
          <w:r>
            <w:rPr>
              <w:rFonts w:hint="eastAsia" w:ascii="黑体" w:hAnsi="黑体" w:eastAsia="黑体" w:cs="黑体"/>
              <w:b/>
              <w:bCs/>
              <w:sz w:val="28"/>
              <w:szCs w:val="28"/>
            </w:rPr>
            <w:t>（二）项目过程情况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_Toc13838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21</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"_Toc31978" </w:instrText>
          </w:r>
          <w:r>
            <w:fldChar w:fldCharType="separate"/>
          </w:r>
          <w:r>
            <w:rPr>
              <w:rFonts w:hint="eastAsia" w:ascii="黑体" w:hAnsi="黑体" w:eastAsia="黑体" w:cs="黑体"/>
              <w:b/>
              <w:bCs/>
              <w:sz w:val="28"/>
              <w:szCs w:val="28"/>
            </w:rPr>
            <w:t>（三）项目产出情况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_Toc31978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27</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3"/>
            <w:tabs>
              <w:tab w:val="right" w:leader="dot" w:pos="8306"/>
            </w:tabs>
            <w:ind w:left="640" w:firstLine="562"/>
            <w:rPr>
              <w:rFonts w:ascii="黑体" w:hAnsi="黑体" w:eastAsia="黑体" w:cs="黑体"/>
              <w:b/>
              <w:bCs/>
              <w:sz w:val="28"/>
              <w:szCs w:val="28"/>
            </w:rPr>
          </w:pPr>
          <w:r>
            <w:fldChar w:fldCharType="begin"/>
          </w:r>
          <w:r>
            <w:instrText xml:space="preserve"> HYPERLINK \l "_Toc13518" </w:instrText>
          </w:r>
          <w:r>
            <w:fldChar w:fldCharType="separate"/>
          </w:r>
          <w:r>
            <w:rPr>
              <w:rFonts w:hint="eastAsia" w:ascii="黑体" w:hAnsi="黑体" w:eastAsia="黑体" w:cs="黑体"/>
              <w:b/>
              <w:bCs/>
              <w:sz w:val="28"/>
              <w:szCs w:val="28"/>
            </w:rPr>
            <w:t>（四）项目效益情况</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_Toc13518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37</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"_Toc10989" </w:instrText>
          </w:r>
          <w:r>
            <w:fldChar w:fldCharType="separate"/>
          </w:r>
          <w:r>
            <w:rPr>
              <w:rFonts w:hint="eastAsia" w:ascii="黑体" w:hAnsi="黑体" w:eastAsia="黑体" w:cs="黑体"/>
              <w:b/>
              <w:bCs/>
              <w:sz w:val="28"/>
              <w:szCs w:val="28"/>
            </w:rPr>
            <w:t>六、项目主要经验及做法</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_Toc10989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45</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"_Toc26015" </w:instrText>
          </w:r>
          <w:r>
            <w:fldChar w:fldCharType="separate"/>
          </w:r>
          <w:r>
            <w:rPr>
              <w:rFonts w:hint="eastAsia" w:ascii="黑体" w:hAnsi="黑体" w:eastAsia="黑体" w:cs="黑体"/>
              <w:b/>
              <w:bCs/>
              <w:sz w:val="28"/>
              <w:szCs w:val="28"/>
            </w:rPr>
            <w:t>七、存在的问题及原因分析</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_Toc26015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46</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"_Toc15115" </w:instrText>
          </w:r>
          <w:r>
            <w:fldChar w:fldCharType="separate"/>
          </w:r>
          <w:r>
            <w:rPr>
              <w:rFonts w:hint="eastAsia" w:ascii="黑体" w:hAnsi="黑体" w:eastAsia="黑体" w:cs="黑体"/>
              <w:b/>
              <w:bCs/>
              <w:sz w:val="28"/>
              <w:szCs w:val="28"/>
            </w:rPr>
            <w:t>八、有关建议</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_Toc15115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48</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"_Toc21552" </w:instrText>
          </w:r>
          <w:r>
            <w:fldChar w:fldCharType="separate"/>
          </w:r>
          <w:r>
            <w:rPr>
              <w:rFonts w:hint="eastAsia" w:ascii="黑体" w:hAnsi="黑体" w:eastAsia="黑体" w:cs="黑体"/>
              <w:b/>
              <w:bCs/>
              <w:sz w:val="28"/>
              <w:szCs w:val="28"/>
            </w:rPr>
            <w:t>九、需要说明的问题</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_Toc21552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49</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562"/>
            <w:rPr>
              <w:rFonts w:ascii="黑体" w:hAnsi="黑体" w:eastAsia="黑体" w:cs="黑体"/>
              <w:b/>
              <w:bCs/>
              <w:sz w:val="28"/>
              <w:szCs w:val="28"/>
            </w:rPr>
          </w:pPr>
          <w:r>
            <w:fldChar w:fldCharType="begin"/>
          </w:r>
          <w:r>
            <w:instrText xml:space="preserve"> HYPERLINK \l "_Toc32435" </w:instrText>
          </w:r>
          <w:r>
            <w:fldChar w:fldCharType="separate"/>
          </w:r>
          <w:r>
            <w:rPr>
              <w:rFonts w:hint="eastAsia" w:ascii="黑体" w:hAnsi="黑体" w:eastAsia="黑体" w:cs="黑体"/>
              <w:b/>
              <w:bCs/>
              <w:sz w:val="28"/>
              <w:szCs w:val="28"/>
            </w:rPr>
            <w:t>十、其他附件</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_Toc32435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50</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1280" w:firstLineChars="400"/>
            <w:rPr>
              <w:rFonts w:ascii="黑体" w:hAnsi="黑体" w:eastAsia="黑体" w:cs="黑体"/>
              <w:b/>
              <w:bCs/>
              <w:sz w:val="28"/>
              <w:szCs w:val="28"/>
            </w:rPr>
          </w:pPr>
          <w:r>
            <w:fldChar w:fldCharType="begin"/>
          </w:r>
          <w:r>
            <w:instrText xml:space="preserve"> HYPERLINK \l "_Toc5834" </w:instrText>
          </w:r>
          <w:r>
            <w:fldChar w:fldCharType="separate"/>
          </w:r>
          <w:r>
            <w:rPr>
              <w:rFonts w:hint="eastAsia" w:ascii="黑体" w:hAnsi="黑体" w:eastAsia="黑体" w:cs="黑体"/>
              <w:b/>
              <w:bCs/>
              <w:sz w:val="28"/>
              <w:szCs w:val="28"/>
            </w:rPr>
            <w:t>附件1 绩效评价指标体系</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_Toc5834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51</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1280" w:firstLineChars="400"/>
            <w:rPr>
              <w:rFonts w:ascii="黑体" w:hAnsi="黑体" w:eastAsia="黑体" w:cs="黑体"/>
              <w:b/>
              <w:bCs/>
              <w:sz w:val="28"/>
              <w:szCs w:val="28"/>
            </w:rPr>
          </w:pPr>
          <w:r>
            <w:fldChar w:fldCharType="begin"/>
          </w:r>
          <w:r>
            <w:instrText xml:space="preserve"> HYPERLINK \l "_Toc23376" </w:instrText>
          </w:r>
          <w:r>
            <w:fldChar w:fldCharType="separate"/>
          </w:r>
          <w:r>
            <w:rPr>
              <w:rFonts w:hint="eastAsia" w:ascii="黑体" w:hAnsi="黑体" w:eastAsia="黑体" w:cs="黑体"/>
              <w:b/>
              <w:bCs/>
              <w:sz w:val="28"/>
              <w:szCs w:val="28"/>
            </w:rPr>
            <w:t>附件2 项目资金使用情况表</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_Toc23376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62</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pStyle w:val="11"/>
            <w:tabs>
              <w:tab w:val="right" w:leader="dot" w:pos="8306"/>
            </w:tabs>
            <w:ind w:firstLine="1280" w:firstLineChars="400"/>
          </w:pPr>
          <w:r>
            <w:fldChar w:fldCharType="begin"/>
          </w:r>
          <w:r>
            <w:instrText xml:space="preserve"> HYPERLINK \l "_Toc11336" </w:instrText>
          </w:r>
          <w:r>
            <w:fldChar w:fldCharType="separate"/>
          </w:r>
          <w:r>
            <w:rPr>
              <w:rFonts w:hint="eastAsia" w:ascii="黑体" w:hAnsi="黑体" w:eastAsia="黑体" w:cs="黑体"/>
              <w:b/>
              <w:bCs/>
              <w:sz w:val="28"/>
              <w:szCs w:val="28"/>
            </w:rPr>
            <w:t>附件3 问卷调查满意度分析</w:t>
          </w:r>
          <w:r>
            <w:rPr>
              <w:rFonts w:hint="eastAsia" w:ascii="黑体" w:hAnsi="黑体" w:eastAsia="黑体" w:cs="黑体"/>
              <w:b/>
              <w:bCs/>
              <w:sz w:val="28"/>
              <w:szCs w:val="28"/>
            </w:rPr>
            <w:tab/>
          </w:r>
          <w:r>
            <w:rPr>
              <w:rFonts w:hint="eastAsia" w:ascii="黑体" w:hAnsi="黑体" w:eastAsia="黑体" w:cs="黑体"/>
              <w:b/>
              <w:bCs/>
              <w:sz w:val="28"/>
              <w:szCs w:val="28"/>
            </w:rPr>
            <w:fldChar w:fldCharType="begin"/>
          </w:r>
          <w:r>
            <w:rPr>
              <w:rFonts w:hint="eastAsia" w:ascii="黑体" w:hAnsi="黑体" w:eastAsia="黑体" w:cs="黑体"/>
              <w:b/>
              <w:bCs/>
              <w:sz w:val="28"/>
              <w:szCs w:val="28"/>
            </w:rPr>
            <w:instrText xml:space="preserve"> PAGEREF _Toc11336 </w:instrText>
          </w:r>
          <w:r>
            <w:rPr>
              <w:rFonts w:hint="eastAsia" w:ascii="黑体" w:hAnsi="黑体" w:eastAsia="黑体" w:cs="黑体"/>
              <w:b/>
              <w:bCs/>
              <w:sz w:val="28"/>
              <w:szCs w:val="28"/>
            </w:rPr>
            <w:fldChar w:fldCharType="separate"/>
          </w:r>
          <w:r>
            <w:rPr>
              <w:rFonts w:hint="eastAsia" w:ascii="黑体" w:hAnsi="黑体" w:eastAsia="黑体" w:cs="黑体"/>
              <w:b/>
              <w:bCs/>
              <w:sz w:val="28"/>
              <w:szCs w:val="28"/>
            </w:rPr>
            <w:t>63</w:t>
          </w:r>
          <w:r>
            <w:rPr>
              <w:rFonts w:hint="eastAsia" w:ascii="黑体" w:hAnsi="黑体" w:eastAsia="黑体" w:cs="黑体"/>
              <w:b/>
              <w:bCs/>
              <w:sz w:val="28"/>
              <w:szCs w:val="28"/>
            </w:rPr>
            <w:fldChar w:fldCharType="end"/>
          </w:r>
          <w:r>
            <w:rPr>
              <w:rFonts w:hint="eastAsia" w:ascii="黑体" w:hAnsi="黑体" w:eastAsia="黑体" w:cs="黑体"/>
              <w:b/>
              <w:bCs/>
              <w:sz w:val="28"/>
              <w:szCs w:val="28"/>
            </w:rPr>
            <w:fldChar w:fldCharType="end"/>
          </w:r>
        </w:p>
        <w:p>
          <w:pPr>
            <w:spacing w:line="240" w:lineRule="auto"/>
            <w:ind w:firstLine="0" w:firstLineChars="0"/>
            <w:jc w:val="center"/>
          </w:pPr>
          <w:r>
            <w:rPr>
              <w:rFonts w:hint="eastAsia"/>
            </w:rPr>
            <w:fldChar w:fldCharType="end"/>
          </w:r>
        </w:p>
      </w:sdtContent>
    </w:sdt>
    <w:p>
      <w:pPr>
        <w:ind w:firstLine="0" w:firstLineChars="0"/>
        <w:jc w:val="center"/>
        <w:rPr>
          <w:rFonts w:ascii="方正小标宋简体" w:hAnsi="华文中宋" w:eastAsia="方正小标宋简体" w:cs="华文中宋"/>
          <w:sz w:val="36"/>
          <w:szCs w:val="36"/>
        </w:rPr>
        <w:sectPr>
          <w:headerReference r:id="rId11" w:type="default"/>
          <w:footerReference r:id="rId12" w:type="default"/>
          <w:pgSz w:w="11906" w:h="16838"/>
          <w:pgMar w:top="1440" w:right="1800" w:bottom="1440" w:left="1800" w:header="851" w:footer="722" w:gutter="0"/>
          <w:pgNumType w:start="35"/>
          <w:cols w:space="425" w:num="1"/>
          <w:docGrid w:type="lines" w:linePitch="435" w:charSpace="0"/>
        </w:sectPr>
      </w:pPr>
      <w:bookmarkStart w:id="23" w:name="_Toc28650_WPSOffice_Level1"/>
      <w:bookmarkStart w:id="24" w:name="_Toc8882_WPSOffice_Level1"/>
      <w:bookmarkStart w:id="25" w:name="_Toc14946_WPSOffice_Level1"/>
      <w:bookmarkStart w:id="26" w:name="_Toc30799_WPSOffice_Level1"/>
      <w:bookmarkStart w:id="27" w:name="_Toc14205"/>
    </w:p>
    <w:p>
      <w:pPr>
        <w:ind w:firstLine="0" w:firstLineChars="0"/>
        <w:jc w:val="center"/>
        <w:rPr>
          <w:rFonts w:ascii="方正小标宋简体" w:hAnsi="华文中宋" w:eastAsia="方正小标宋简体" w:cs="华文中宋"/>
          <w:b/>
          <w:sz w:val="36"/>
          <w:szCs w:val="36"/>
        </w:rPr>
      </w:pPr>
      <w:r>
        <w:rPr>
          <w:rFonts w:hint="eastAsia" w:ascii="方正小标宋简体" w:hAnsi="华文中宋" w:eastAsia="方正小标宋简体" w:cs="华文中宋"/>
          <w:b/>
          <w:sz w:val="36"/>
          <w:szCs w:val="36"/>
        </w:rPr>
        <w:t>中共甘肃省委机构编制委员会办公室</w:t>
      </w:r>
    </w:p>
    <w:p>
      <w:pPr>
        <w:ind w:firstLine="0" w:firstLineChars="0"/>
        <w:jc w:val="center"/>
        <w:rPr>
          <w:rFonts w:ascii="方正小标宋简体" w:hAnsi="华文中宋" w:eastAsia="方正小标宋简体" w:cs="华文中宋"/>
          <w:b/>
          <w:sz w:val="36"/>
          <w:szCs w:val="36"/>
        </w:rPr>
      </w:pPr>
      <w:r>
        <w:rPr>
          <w:rFonts w:hint="eastAsia" w:ascii="方正小标宋简体" w:hAnsi="华文中宋" w:eastAsia="方正小标宋简体" w:cs="华文中宋"/>
          <w:b/>
          <w:sz w:val="36"/>
          <w:szCs w:val="36"/>
        </w:rPr>
        <w:t>2020年专项业务费项目支出绩效评价报告</w:t>
      </w:r>
    </w:p>
    <w:p>
      <w:pPr>
        <w:spacing w:line="360" w:lineRule="auto"/>
        <w:ind w:firstLine="0" w:firstLineChars="0"/>
        <w:jc w:val="center"/>
        <w:rPr>
          <w:rFonts w:hAnsi="华文中宋" w:cs="华文中宋"/>
          <w:szCs w:val="32"/>
        </w:rPr>
      </w:pPr>
    </w:p>
    <w:bookmarkEnd w:id="23"/>
    <w:bookmarkEnd w:id="24"/>
    <w:bookmarkEnd w:id="25"/>
    <w:bookmarkEnd w:id="26"/>
    <w:p>
      <w:pPr>
        <w:pStyle w:val="3"/>
        <w:keepNext w:val="0"/>
        <w:keepLines w:val="0"/>
        <w:spacing w:line="576" w:lineRule="atLeast"/>
        <w:ind w:firstLine="643"/>
        <w:rPr>
          <w:rFonts w:cs="黑体"/>
          <w:bCs/>
          <w:szCs w:val="32"/>
        </w:rPr>
      </w:pPr>
      <w:bookmarkStart w:id="28" w:name="_Toc20117"/>
      <w:r>
        <w:rPr>
          <w:rFonts w:hint="eastAsia" w:cs="黑体"/>
          <w:bCs/>
          <w:szCs w:val="32"/>
        </w:rPr>
        <w:fldChar w:fldCharType="begin"/>
      </w:r>
      <w:r>
        <w:rPr>
          <w:rFonts w:hint="eastAsia" w:cs="黑体"/>
          <w:bCs/>
          <w:szCs w:val="32"/>
        </w:rPr>
        <w:instrText xml:space="preserve"> HYPERLINK \l "_Toc32527" </w:instrText>
      </w:r>
      <w:r>
        <w:rPr>
          <w:rFonts w:hint="eastAsia" w:cs="黑体"/>
          <w:bCs/>
          <w:szCs w:val="32"/>
        </w:rPr>
        <w:fldChar w:fldCharType="separate"/>
      </w:r>
      <w:r>
        <w:rPr>
          <w:rFonts w:hint="eastAsia" w:cs="黑体"/>
          <w:bCs/>
          <w:szCs w:val="32"/>
        </w:rPr>
        <w:t>一、项目基本情况</w:t>
      </w:r>
      <w:r>
        <w:rPr>
          <w:rFonts w:hint="eastAsia" w:cs="黑体"/>
          <w:bCs/>
          <w:szCs w:val="32"/>
        </w:rPr>
        <w:fldChar w:fldCharType="end"/>
      </w:r>
      <w:bookmarkEnd w:id="27"/>
      <w:bookmarkEnd w:id="28"/>
    </w:p>
    <w:p>
      <w:pPr>
        <w:pStyle w:val="4"/>
        <w:keepNext w:val="0"/>
        <w:keepLines w:val="0"/>
        <w:spacing w:line="360" w:lineRule="auto"/>
        <w:ind w:firstLine="643"/>
        <w:rPr>
          <w:rFonts w:eastAsia="楷体"/>
        </w:rPr>
      </w:pPr>
      <w:bookmarkStart w:id="29" w:name="_Toc11088"/>
      <w:bookmarkStart w:id="30" w:name="_Toc25857"/>
      <w:r>
        <w:rPr>
          <w:rFonts w:hint="eastAsia" w:ascii="楷体" w:hAnsi="楷体" w:eastAsia="楷体"/>
        </w:rPr>
        <w:fldChar w:fldCharType="begin"/>
      </w:r>
      <w:r>
        <w:rPr>
          <w:rFonts w:hint="eastAsia" w:ascii="楷体" w:hAnsi="楷体" w:eastAsia="楷体"/>
        </w:rPr>
        <w:instrText xml:space="preserve"> HYPERLINK \l _Toc7405 </w:instrText>
      </w:r>
      <w:r>
        <w:rPr>
          <w:rFonts w:hint="eastAsia" w:ascii="楷体" w:hAnsi="楷体" w:eastAsia="楷体"/>
        </w:rPr>
        <w:fldChar w:fldCharType="separate"/>
      </w:r>
      <w:r>
        <w:rPr>
          <w:rFonts w:hint="eastAsia" w:ascii="楷体" w:hAnsi="楷体" w:eastAsia="楷体"/>
        </w:rPr>
        <w:t>（一）项目立</w:t>
      </w:r>
      <w:r>
        <w:rPr>
          <w:rFonts w:hint="eastAsia" w:ascii="楷体" w:hAnsi="楷体" w:eastAsia="楷体"/>
        </w:rPr>
        <w:fldChar w:fldCharType="end"/>
      </w:r>
      <w:bookmarkEnd w:id="29"/>
      <w:r>
        <w:rPr>
          <w:rFonts w:hint="eastAsia" w:ascii="楷体" w:hAnsi="楷体" w:eastAsia="楷体"/>
        </w:rPr>
        <w:t>项背景</w:t>
      </w:r>
      <w:bookmarkEnd w:id="30"/>
    </w:p>
    <w:p>
      <w:pPr>
        <w:pStyle w:val="4"/>
        <w:keepNext w:val="0"/>
        <w:keepLines w:val="0"/>
        <w:spacing w:line="360" w:lineRule="auto"/>
        <w:rPr>
          <w:rFonts w:cs="仿宋_GB2312"/>
          <w:b w:val="0"/>
          <w:szCs w:val="32"/>
        </w:rPr>
      </w:pPr>
      <w:bookmarkStart w:id="31" w:name="_Toc31803"/>
      <w:bookmarkStart w:id="32" w:name="_Toc17368"/>
      <w:r>
        <w:rPr>
          <w:rFonts w:hint="eastAsia" w:cs="仿宋_GB2312"/>
          <w:b w:val="0"/>
          <w:szCs w:val="32"/>
        </w:rPr>
        <w:t>机构编制工作在加强党和国家机构职能体系建设、深化机构改革、优化党的执政资源配置方面发挥着至关重要的作用，对推进国家治理体系和治理能力现代化具有重大意义。2019年8月，中共中央印发了《中国共产党机构编制工作条例》（以下简称《条例》），作为第一部专门规范机构编制工作的党内法规，《条例》切实加强了党对机构编制工作的领导，不断优化党的执政资源配置，积极推进党和国家机构职能优化协同高效，有效强化机构编制工作的刚性约束，是新时代机构编制工作的基本遵循。机构改革是为了适应社会政治经济发展的需要而对党政机关的管理体制、职能配置、机构设置、人员配备以及机构人员的组合方式、运行机制所作的较大调整和变革。</w:t>
      </w:r>
      <w:bookmarkEnd w:id="31"/>
      <w:bookmarkEnd w:id="32"/>
      <w:r>
        <w:rPr>
          <w:rFonts w:hint="eastAsia" w:cs="仿宋_GB2312"/>
          <w:b w:val="0"/>
          <w:szCs w:val="32"/>
        </w:rPr>
        <w:t>机构职能配置是否科学、内设机构是否适当、人员编制是否合理，直接影响着党治国理政的组织基础及效能发挥。</w:t>
      </w:r>
    </w:p>
    <w:p>
      <w:pPr>
        <w:pStyle w:val="4"/>
        <w:keepNext w:val="0"/>
        <w:keepLines w:val="0"/>
        <w:spacing w:line="360" w:lineRule="auto"/>
        <w:rPr>
          <w:rFonts w:cs="仿宋_GB2312"/>
          <w:b w:val="0"/>
          <w:szCs w:val="32"/>
        </w:rPr>
      </w:pPr>
      <w:r>
        <w:rPr>
          <w:rFonts w:hint="eastAsia" w:cs="仿宋_GB2312"/>
          <w:b w:val="0"/>
          <w:szCs w:val="32"/>
        </w:rPr>
        <w:t>中</w:t>
      </w:r>
      <w:r>
        <w:rPr>
          <w:rFonts w:cs="仿宋_GB2312"/>
          <w:b w:val="0"/>
          <w:szCs w:val="32"/>
        </w:rPr>
        <w:t>共</w:t>
      </w:r>
      <w:r>
        <w:rPr>
          <w:rFonts w:hint="eastAsia" w:cs="仿宋_GB2312"/>
          <w:b w:val="0"/>
          <w:szCs w:val="32"/>
        </w:rPr>
        <w:t>甘肃省委机构编制委员会办公室作为中</w:t>
      </w:r>
      <w:r>
        <w:rPr>
          <w:rFonts w:cs="仿宋_GB2312"/>
          <w:b w:val="0"/>
          <w:szCs w:val="32"/>
        </w:rPr>
        <w:t>共</w:t>
      </w:r>
      <w:r>
        <w:rPr>
          <w:rFonts w:hint="eastAsia" w:cs="仿宋_GB2312"/>
          <w:b w:val="0"/>
          <w:szCs w:val="32"/>
        </w:rPr>
        <w:t>甘肃省委机构编制委员会的办事机构，承担着省委机构编制委员会日常工作，指导、协调全省各级行政管理体制改革和机构改革工作。近年来，省委编</w:t>
      </w:r>
      <w:r>
        <w:rPr>
          <w:rFonts w:cs="仿宋_GB2312"/>
          <w:b w:val="0"/>
          <w:szCs w:val="32"/>
        </w:rPr>
        <w:t>办</w:t>
      </w:r>
      <w:r>
        <w:rPr>
          <w:rFonts w:hint="eastAsia" w:cs="仿宋_GB2312"/>
          <w:b w:val="0"/>
          <w:szCs w:val="32"/>
        </w:rPr>
        <w:t>贯彻党执行中央关于机构编制工作决策部署，从实际出发，管好用好机构编制这个政治资源、执政资源，统筹推进省市县乡（镇）机构改革，优化机构编制资源配置，积极推进机构编制实名管理、机构编制信息化等工作，持续做好机构改革“后半篇文章”。</w:t>
      </w:r>
    </w:p>
    <w:p>
      <w:pPr>
        <w:pStyle w:val="4"/>
        <w:keepNext w:val="0"/>
        <w:keepLines w:val="0"/>
        <w:spacing w:line="360" w:lineRule="auto"/>
        <w:ind w:firstLine="643"/>
        <w:rPr>
          <w:rFonts w:eastAsia="楷体"/>
        </w:rPr>
      </w:pPr>
      <w:bookmarkStart w:id="33" w:name="_Toc21230"/>
      <w:r>
        <w:rPr>
          <w:rFonts w:hint="eastAsia" w:ascii="楷体" w:hAnsi="楷体" w:eastAsia="楷体"/>
        </w:rPr>
        <w:fldChar w:fldCharType="begin"/>
      </w:r>
      <w:r>
        <w:rPr>
          <w:rFonts w:hint="eastAsia" w:ascii="楷体" w:hAnsi="楷体" w:eastAsia="楷体"/>
        </w:rPr>
        <w:instrText xml:space="preserve"> HYPERLINK \l _Toc7405 </w:instrText>
      </w:r>
      <w:r>
        <w:rPr>
          <w:rFonts w:hint="eastAsia" w:ascii="楷体" w:hAnsi="楷体" w:eastAsia="楷体"/>
        </w:rPr>
        <w:fldChar w:fldCharType="separate"/>
      </w:r>
      <w:r>
        <w:rPr>
          <w:rFonts w:hint="eastAsia" w:ascii="楷体" w:hAnsi="楷体" w:eastAsia="楷体"/>
        </w:rPr>
        <w:t>（二）项目预</w:t>
      </w:r>
      <w:r>
        <w:rPr>
          <w:rFonts w:hint="eastAsia" w:ascii="楷体" w:hAnsi="楷体" w:eastAsia="楷体"/>
        </w:rPr>
        <w:fldChar w:fldCharType="end"/>
      </w:r>
      <w:r>
        <w:rPr>
          <w:rFonts w:hint="eastAsia" w:ascii="楷体" w:hAnsi="楷体" w:eastAsia="楷体"/>
        </w:rPr>
        <w:t>算安排及使用情况</w:t>
      </w:r>
      <w:bookmarkEnd w:id="33"/>
    </w:p>
    <w:p>
      <w:pPr>
        <w:spacing w:line="360" w:lineRule="auto"/>
        <w:rPr>
          <w:rFonts w:cs="仿宋_GB2312"/>
          <w:szCs w:val="32"/>
        </w:rPr>
      </w:pPr>
      <w:r>
        <w:rPr>
          <w:rFonts w:hint="eastAsia" w:cs="仿宋_GB2312"/>
          <w:szCs w:val="32"/>
        </w:rPr>
        <w:t>省委</w:t>
      </w:r>
      <w:r>
        <w:rPr>
          <w:rFonts w:cs="仿宋_GB2312"/>
          <w:szCs w:val="32"/>
        </w:rPr>
        <w:t>编办</w:t>
      </w:r>
      <w:r>
        <w:rPr>
          <w:rFonts w:hint="eastAsia" w:cs="仿宋_GB2312"/>
          <w:szCs w:val="32"/>
        </w:rPr>
        <w:t>2020年专项业务费年度申请预算400万元，实际到位403.6907万元（其中：2020年财政拨款400万元，年初结转和结余资金3.6907万元），截止2020年12月31日，项目资金支出403.6907万元，资金支出率为100%，资金主要用于机构改革日常运行保障及机构编制实名制管理系统升级改造等。具体支出明细如下：</w:t>
      </w:r>
    </w:p>
    <w:p>
      <w:pPr>
        <w:spacing w:line="240" w:lineRule="auto"/>
        <w:ind w:firstLine="0" w:firstLineChars="0"/>
        <w:jc w:val="center"/>
        <w:rPr>
          <w:rFonts w:asciiTheme="majorEastAsia" w:hAnsiTheme="majorEastAsia" w:eastAsiaTheme="majorEastAsia" w:cstheme="majorEastAsia"/>
          <w:b/>
          <w:bCs/>
          <w:sz w:val="28"/>
          <w:szCs w:val="28"/>
        </w:rPr>
      </w:pPr>
      <w:r>
        <w:rPr>
          <w:rFonts w:hint="eastAsia" w:asciiTheme="majorEastAsia" w:hAnsiTheme="majorEastAsia" w:eastAsiaTheme="majorEastAsia" w:cstheme="majorEastAsia"/>
          <w:b/>
          <w:bCs/>
          <w:sz w:val="28"/>
          <w:szCs w:val="28"/>
        </w:rPr>
        <w:t>表1 甘肃省委机构编制委员会办公室2020年专项业务费项目资金支出明细表</w:t>
      </w:r>
    </w:p>
    <w:p>
      <w:pPr>
        <w:ind w:firstLine="560"/>
        <w:rPr>
          <w:b/>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b/>
          <w:sz w:val="28"/>
          <w:szCs w:val="28"/>
        </w:rPr>
        <w:t xml:space="preserve">       单位：万元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535"/>
        <w:gridCol w:w="1556"/>
        <w:gridCol w:w="204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2535" w:type="dxa"/>
            <w:vAlign w:val="center"/>
          </w:tcPr>
          <w:p>
            <w:pPr>
              <w:spacing w:line="360" w:lineRule="auto"/>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支出项目</w:t>
            </w:r>
          </w:p>
        </w:tc>
        <w:tc>
          <w:tcPr>
            <w:tcW w:w="1556" w:type="dxa"/>
            <w:vAlign w:val="center"/>
          </w:tcPr>
          <w:p>
            <w:pPr>
              <w:spacing w:line="360" w:lineRule="auto"/>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预算经费</w:t>
            </w:r>
          </w:p>
        </w:tc>
        <w:tc>
          <w:tcPr>
            <w:tcW w:w="2040" w:type="dxa"/>
            <w:vAlign w:val="center"/>
          </w:tcPr>
          <w:p>
            <w:pPr>
              <w:spacing w:line="360" w:lineRule="auto"/>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实际到位经费</w:t>
            </w:r>
          </w:p>
        </w:tc>
        <w:tc>
          <w:tcPr>
            <w:tcW w:w="1518" w:type="dxa"/>
            <w:vAlign w:val="center"/>
          </w:tcPr>
          <w:p>
            <w:pPr>
              <w:spacing w:line="360" w:lineRule="auto"/>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支出经费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535"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办公费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25.577</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535"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印刷费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16.54</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535" w:type="dxa"/>
            <w:vAlign w:val="center"/>
          </w:tcPr>
          <w:p>
            <w:pPr>
              <w:spacing w:line="36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电费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535" w:type="dxa"/>
            <w:vAlign w:val="center"/>
          </w:tcPr>
          <w:p>
            <w:pPr>
              <w:spacing w:line="36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取暖费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18.46</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535" w:type="dxa"/>
            <w:vAlign w:val="center"/>
          </w:tcPr>
          <w:p>
            <w:pPr>
              <w:spacing w:line="36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差旅费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18.1136</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18.1136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535" w:type="dxa"/>
            <w:vAlign w:val="center"/>
          </w:tcPr>
          <w:p>
            <w:pPr>
              <w:spacing w:line="36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维修（护）费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535" w:type="dxa"/>
            <w:vAlign w:val="center"/>
          </w:tcPr>
          <w:p>
            <w:pPr>
              <w:spacing w:line="36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租赁费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16.43</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535" w:type="dxa"/>
            <w:vAlign w:val="center"/>
          </w:tcPr>
          <w:p>
            <w:pPr>
              <w:spacing w:line="36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会议费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535" w:type="dxa"/>
            <w:vAlign w:val="center"/>
          </w:tcPr>
          <w:p>
            <w:pPr>
              <w:spacing w:line="36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25.57</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535" w:type="dxa"/>
            <w:vAlign w:val="center"/>
          </w:tcPr>
          <w:p>
            <w:pPr>
              <w:spacing w:line="36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办公设备购置费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2535" w:type="dxa"/>
            <w:vAlign w:val="center"/>
          </w:tcPr>
          <w:p>
            <w:pPr>
              <w:spacing w:line="360" w:lineRule="exact"/>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信息网络及软件购置更新费</w:t>
            </w:r>
          </w:p>
        </w:tc>
        <w:tc>
          <w:tcPr>
            <w:tcW w:w="1556" w:type="dxa"/>
            <w:vAlign w:val="center"/>
          </w:tcPr>
          <w:p>
            <w:pPr>
              <w:spacing w:line="360" w:lineRule="auto"/>
              <w:ind w:firstLine="480"/>
              <w:jc w:val="center"/>
              <w:rPr>
                <w:rFonts w:asciiTheme="minorEastAsia" w:hAnsiTheme="minorEastAsia" w:eastAsiaTheme="minorEastAsia" w:cstheme="minorEastAsia"/>
                <w:sz w:val="24"/>
              </w:rPr>
            </w:pP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197</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8" w:type="dxa"/>
            <w:gridSpan w:val="2"/>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合计</w:t>
            </w:r>
          </w:p>
        </w:tc>
        <w:tc>
          <w:tcPr>
            <w:tcW w:w="1556"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400</w:t>
            </w:r>
          </w:p>
        </w:tc>
        <w:tc>
          <w:tcPr>
            <w:tcW w:w="2040"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403.6907</w:t>
            </w:r>
          </w:p>
        </w:tc>
        <w:tc>
          <w:tcPr>
            <w:tcW w:w="1518" w:type="dxa"/>
            <w:vAlign w:val="center"/>
          </w:tcPr>
          <w:p>
            <w:pPr>
              <w:spacing w:line="36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403.6907</w:t>
            </w:r>
          </w:p>
        </w:tc>
      </w:tr>
    </w:tbl>
    <w:p>
      <w:pPr>
        <w:pStyle w:val="4"/>
        <w:keepNext w:val="0"/>
        <w:keepLines w:val="0"/>
        <w:spacing w:line="360" w:lineRule="auto"/>
        <w:ind w:firstLine="643"/>
        <w:rPr>
          <w:rFonts w:eastAsia="楷体"/>
        </w:rPr>
      </w:pPr>
      <w:bookmarkStart w:id="34" w:name="_Toc11527"/>
      <w:r>
        <w:rPr>
          <w:rFonts w:hint="eastAsia" w:eastAsia="楷体"/>
        </w:rPr>
        <w:t>（三）项目计划内容及实施情况</w:t>
      </w:r>
      <w:bookmarkEnd w:id="34"/>
    </w:p>
    <w:p>
      <w:pPr>
        <w:wordWrap w:val="0"/>
        <w:spacing w:line="360" w:lineRule="auto"/>
      </w:pPr>
      <w:r>
        <w:rPr>
          <w:rFonts w:hint="eastAsia" w:cs="仿宋_GB2312"/>
          <w:szCs w:val="32"/>
        </w:rPr>
        <w:t>省委</w:t>
      </w:r>
      <w:r>
        <w:rPr>
          <w:rFonts w:cs="仿宋_GB2312"/>
          <w:szCs w:val="32"/>
        </w:rPr>
        <w:t>编办</w:t>
      </w:r>
      <w:r>
        <w:rPr>
          <w:rFonts w:hint="eastAsia" w:cs="仿宋_GB2312"/>
          <w:szCs w:val="32"/>
        </w:rPr>
        <w:t>2020年专项业务费项目是机构改革工作的专项经费，主要用于开展机构改革、经营类事业单位改革、乡镇和街道管理体制改革及实名制管理等机构改革工作，旨在保障机构改革、机构编制的日常运行和机构编制实名制管理系统的升级改造等。</w:t>
      </w:r>
    </w:p>
    <w:p>
      <w:pPr>
        <w:spacing w:line="360" w:lineRule="auto"/>
        <w:rPr>
          <w:rFonts w:cs="仿宋_GB2312"/>
          <w:szCs w:val="32"/>
        </w:rPr>
      </w:pPr>
      <w:r>
        <w:rPr>
          <w:rFonts w:hint="eastAsia" w:cs="仿宋_GB2312"/>
          <w:szCs w:val="32"/>
        </w:rPr>
        <w:t>2020年，省委</w:t>
      </w:r>
      <w:r>
        <w:rPr>
          <w:rFonts w:cs="仿宋_GB2312"/>
          <w:szCs w:val="32"/>
        </w:rPr>
        <w:t>编办</w:t>
      </w:r>
      <w:r>
        <w:rPr>
          <w:rFonts w:hint="eastAsia" w:cs="仿宋_GB2312"/>
          <w:szCs w:val="32"/>
        </w:rPr>
        <w:t>通过考察调研、会议培训、部门督查等方式，巩固深化机构改革成果、推进了乡镇街道管理体制改革、创新机构编制管理；同时，通过机构编制实名制管理系统的升级改造，使机构编制实名制系统达到了“事项简、流程优、材料减、时间压、次数少”的总体目标，进一步提升了机构编制管理效率和服务水平。</w:t>
      </w:r>
    </w:p>
    <w:p>
      <w:pPr>
        <w:pStyle w:val="3"/>
        <w:keepNext w:val="0"/>
        <w:keepLines w:val="0"/>
        <w:spacing w:line="576" w:lineRule="atLeast"/>
        <w:ind w:firstLine="643"/>
        <w:rPr>
          <w:rFonts w:cs="黑体"/>
          <w:bCs/>
          <w:szCs w:val="32"/>
        </w:rPr>
      </w:pPr>
      <w:bookmarkStart w:id="35" w:name="_Toc10783"/>
      <w:r>
        <w:rPr>
          <w:rFonts w:hint="eastAsia" w:cs="黑体"/>
          <w:bCs/>
          <w:szCs w:val="32"/>
        </w:rPr>
        <w:t>二、项目绩效目标</w:t>
      </w:r>
      <w:bookmarkEnd w:id="35"/>
    </w:p>
    <w:p>
      <w:pPr>
        <w:pStyle w:val="4"/>
        <w:keepNext w:val="0"/>
        <w:keepLines w:val="0"/>
        <w:ind w:firstLine="643"/>
        <w:rPr>
          <w:rFonts w:eastAsia="楷体"/>
        </w:rPr>
      </w:pPr>
      <w:bookmarkStart w:id="36" w:name="_Toc27743"/>
      <w:r>
        <w:rPr>
          <w:rFonts w:hint="eastAsia" w:eastAsia="楷体"/>
        </w:rPr>
        <w:t>（一）项目总目标</w:t>
      </w:r>
      <w:bookmarkEnd w:id="36"/>
    </w:p>
    <w:p>
      <w:pPr>
        <w:spacing w:line="360" w:lineRule="auto"/>
        <w:rPr>
          <w:rFonts w:cs="仿宋_GB2312"/>
          <w:szCs w:val="32"/>
        </w:rPr>
      </w:pPr>
      <w:r>
        <w:rPr>
          <w:rFonts w:hint="eastAsia" w:cs="仿宋_GB2312"/>
          <w:szCs w:val="32"/>
        </w:rPr>
        <w:t>围绕推进国家治理体系和治理能力现代化，坚持稳中求进工作总基调，以加强党的全面领导为统领，以贯彻《中国共产党机构编制工作条例》为着力点，巩固深化机构改革成果，稳步推进事业单位改革，统筹配置机构编制资源，加强法规制度建设，推进机构编制法定化，为加快建设幸福美好新甘肃、不断开创富民兴陇新局面提供体制机制保障。</w:t>
      </w:r>
    </w:p>
    <w:p>
      <w:pPr>
        <w:pStyle w:val="4"/>
        <w:keepNext w:val="0"/>
        <w:keepLines w:val="0"/>
        <w:spacing w:line="360" w:lineRule="auto"/>
        <w:ind w:firstLine="643"/>
        <w:rPr>
          <w:rFonts w:eastAsia="楷体"/>
        </w:rPr>
      </w:pPr>
      <w:bookmarkStart w:id="37" w:name="_Toc9722"/>
      <w:r>
        <w:rPr>
          <w:rFonts w:hint="eastAsia" w:eastAsia="楷体"/>
        </w:rPr>
        <w:t>（二）项目年度绩效目标</w:t>
      </w:r>
      <w:bookmarkEnd w:id="37"/>
    </w:p>
    <w:p>
      <w:pPr>
        <w:spacing w:line="360" w:lineRule="auto"/>
        <w:rPr>
          <w:rFonts w:cs="仿宋_GB2312"/>
          <w:szCs w:val="32"/>
        </w:rPr>
      </w:pPr>
      <w:bookmarkStart w:id="38" w:name="_Toc28951"/>
      <w:r>
        <w:rPr>
          <w:rFonts w:hint="eastAsia" w:cs="仿宋_GB2312"/>
          <w:szCs w:val="32"/>
        </w:rPr>
        <w:t>1.巩固深化机构改革成果，健全完善党对重大工作领导的体制机制，优化政府机构职能和体制机制，深化综合行政执法改革，统筹推进重点领域改革。全年考察调研20次以上，会议培训6次以上，培训人数130人次以上，调研、培训覆盖省直机关、地州市、县及乡镇等行政事业单位。</w:t>
      </w:r>
    </w:p>
    <w:p>
      <w:pPr>
        <w:spacing w:line="360" w:lineRule="auto"/>
        <w:rPr>
          <w:rFonts w:cs="仿宋_GB2312"/>
          <w:szCs w:val="32"/>
        </w:rPr>
      </w:pPr>
      <w:r>
        <w:rPr>
          <w:rFonts w:hint="eastAsia" w:cs="仿宋_GB2312"/>
          <w:szCs w:val="32"/>
        </w:rPr>
        <w:t>2.稳步推进事业单位改革，全面完成经营类事业单位改革和乡镇、街道管理体制改革。</w:t>
      </w:r>
    </w:p>
    <w:p>
      <w:pPr>
        <w:spacing w:line="360" w:lineRule="auto"/>
        <w:rPr>
          <w:rFonts w:cs="仿宋_GB2312"/>
          <w:szCs w:val="32"/>
        </w:rPr>
      </w:pPr>
      <w:r>
        <w:rPr>
          <w:rFonts w:hint="eastAsia" w:cs="仿宋_GB2312"/>
          <w:szCs w:val="32"/>
        </w:rPr>
        <w:t>3.完成机构编制实名制管理系统的升级改造，完善机构编制实名制管理，加快建设机构编制管理同组织、人事、财政预算管理共享的信息平台，逐步实现部门间信息数据共享共用。机构编制实名制管理覆盖率达100%。</w:t>
      </w:r>
    </w:p>
    <w:p>
      <w:pPr>
        <w:spacing w:line="360" w:lineRule="auto"/>
      </w:pPr>
      <w:r>
        <w:rPr>
          <w:rFonts w:hint="eastAsia" w:cs="仿宋_GB2312"/>
          <w:szCs w:val="32"/>
        </w:rPr>
        <w:t>4.做好网站、机构编制实名制管理平台的运营维护，及时缴纳机房运行电费，确保网站、系统的正常运营和机构改革工作的顺利开展。系统正常运行率达100%，维修（护）质量达标率达100%。</w:t>
      </w:r>
    </w:p>
    <w:p>
      <w:pPr>
        <w:pStyle w:val="3"/>
        <w:keepNext w:val="0"/>
        <w:keepLines w:val="0"/>
        <w:spacing w:line="360" w:lineRule="auto"/>
        <w:ind w:firstLine="643"/>
        <w:rPr>
          <w:rFonts w:cs="黑体"/>
          <w:bCs/>
          <w:szCs w:val="32"/>
        </w:rPr>
      </w:pPr>
      <w:bookmarkStart w:id="39" w:name="_Toc12611"/>
      <w:r>
        <w:rPr>
          <w:rFonts w:hint="eastAsia" w:cs="黑体"/>
          <w:bCs/>
          <w:szCs w:val="32"/>
        </w:rPr>
        <w:fldChar w:fldCharType="begin"/>
      </w:r>
      <w:r>
        <w:rPr>
          <w:rFonts w:hint="eastAsia" w:cs="黑体"/>
          <w:bCs/>
          <w:szCs w:val="32"/>
        </w:rPr>
        <w:instrText xml:space="preserve"> HYPERLINK \l _Toc8441 </w:instrText>
      </w:r>
      <w:r>
        <w:rPr>
          <w:rFonts w:hint="eastAsia" w:cs="黑体"/>
          <w:bCs/>
          <w:szCs w:val="32"/>
        </w:rPr>
        <w:fldChar w:fldCharType="separate"/>
      </w:r>
      <w:r>
        <w:rPr>
          <w:rFonts w:hint="eastAsia" w:cs="黑体"/>
          <w:bCs/>
          <w:szCs w:val="32"/>
        </w:rPr>
        <w:t>三、评价基本情况</w:t>
      </w:r>
      <w:r>
        <w:rPr>
          <w:rFonts w:hint="eastAsia" w:cs="黑体"/>
          <w:bCs/>
          <w:szCs w:val="32"/>
        </w:rPr>
        <w:fldChar w:fldCharType="end"/>
      </w:r>
      <w:bookmarkEnd w:id="38"/>
      <w:bookmarkEnd w:id="39"/>
    </w:p>
    <w:p>
      <w:pPr>
        <w:pStyle w:val="4"/>
        <w:keepNext w:val="0"/>
        <w:keepLines w:val="0"/>
        <w:spacing w:line="360" w:lineRule="auto"/>
        <w:ind w:firstLine="643"/>
        <w:rPr>
          <w:rFonts w:ascii="楷体" w:hAnsi="楷体" w:eastAsia="楷体" w:cs="楷体"/>
        </w:rPr>
      </w:pPr>
      <w:bookmarkStart w:id="40" w:name="_Toc31625"/>
      <w:bookmarkStart w:id="41" w:name="_Toc32319"/>
      <w:r>
        <w:rPr>
          <w:rFonts w:hint="eastAsia" w:ascii="楷体" w:hAnsi="楷体" w:eastAsia="楷体" w:cs="楷体"/>
        </w:rPr>
        <w:fldChar w:fldCharType="begin"/>
      </w:r>
      <w:r>
        <w:rPr>
          <w:rFonts w:hint="eastAsia" w:ascii="楷体" w:hAnsi="楷体" w:eastAsia="楷体" w:cs="楷体"/>
        </w:rPr>
        <w:instrText xml:space="preserve"> HYPERLINK \l _Toc14927 </w:instrText>
      </w:r>
      <w:r>
        <w:rPr>
          <w:rFonts w:hint="eastAsia" w:ascii="楷体" w:hAnsi="楷体" w:eastAsia="楷体" w:cs="楷体"/>
        </w:rPr>
        <w:fldChar w:fldCharType="separate"/>
      </w:r>
      <w:r>
        <w:rPr>
          <w:rFonts w:hint="eastAsia" w:ascii="楷体" w:hAnsi="楷体" w:eastAsia="楷体" w:cs="楷体"/>
        </w:rPr>
        <w:t>（一）评价目的</w:t>
      </w:r>
      <w:bookmarkEnd w:id="40"/>
      <w:bookmarkEnd w:id="41"/>
    </w:p>
    <w:p>
      <w:pPr>
        <w:spacing w:line="360" w:lineRule="auto"/>
        <w:rPr>
          <w:rFonts w:cs="仿宋_GB2312"/>
          <w:szCs w:val="32"/>
        </w:rPr>
      </w:pPr>
      <w:r>
        <w:rPr>
          <w:rFonts w:hint="eastAsia" w:ascii="楷体" w:hAnsi="楷体" w:eastAsia="楷体" w:cs="楷体"/>
        </w:rPr>
        <w:fldChar w:fldCharType="end"/>
      </w:r>
      <w:r>
        <w:rPr>
          <w:rFonts w:hint="eastAsia" w:cs="仿宋_GB2312"/>
          <w:szCs w:val="32"/>
        </w:rPr>
        <w:t>绩效评价工作以结果为导向，采用绩效评价方法，运用量化指标从项目决策-项目管理-项目产出-项目效果四个维度对省委编</w:t>
      </w:r>
      <w:r>
        <w:rPr>
          <w:rFonts w:cs="仿宋_GB2312"/>
          <w:szCs w:val="32"/>
        </w:rPr>
        <w:t>办</w:t>
      </w:r>
      <w:r>
        <w:rPr>
          <w:rFonts w:hint="eastAsia" w:cs="仿宋_GB2312"/>
          <w:szCs w:val="32"/>
        </w:rPr>
        <w:t>2020年专项业务费项目的实施效果进行评价，全面反映资金支出的效率和效益。对项目实施情况、资金使用情况、管理情况以及实施效果进行评价，发现项目实施中存在的问题和不足，并针对存在的问题和不足提出具体建议，以提高资金的管理水平，保障资金支出的效益，进而科学评价资金的使用成效，为今后规范项目管理和财政资金安排提供参考依据。同时以全面推进建立“预算编制有目标、预算执行有监控、预算完成有评价、评价结果有反馈、反馈结果有应用”的预算绩效管理机制。</w:t>
      </w:r>
    </w:p>
    <w:p>
      <w:pPr>
        <w:pStyle w:val="4"/>
        <w:keepNext w:val="0"/>
        <w:keepLines w:val="0"/>
        <w:spacing w:line="360" w:lineRule="auto"/>
        <w:ind w:firstLine="643"/>
        <w:rPr>
          <w:rFonts w:ascii="楷体" w:hAnsi="楷体" w:eastAsia="楷体" w:cs="楷体"/>
        </w:rPr>
      </w:pPr>
      <w:bookmarkStart w:id="42" w:name="_Toc27598"/>
      <w:bookmarkStart w:id="43" w:name="_Toc23300"/>
      <w:r>
        <w:rPr>
          <w:rFonts w:hint="eastAsia" w:ascii="楷体" w:hAnsi="楷体" w:eastAsia="楷体" w:cs="楷体"/>
        </w:rPr>
        <w:fldChar w:fldCharType="begin"/>
      </w:r>
      <w:r>
        <w:rPr>
          <w:rFonts w:hint="eastAsia" w:ascii="楷体" w:hAnsi="楷体" w:eastAsia="楷体" w:cs="楷体"/>
        </w:rPr>
        <w:instrText xml:space="preserve"> HYPERLINK \l _Toc22735 </w:instrText>
      </w:r>
      <w:r>
        <w:rPr>
          <w:rFonts w:hint="eastAsia" w:ascii="楷体" w:hAnsi="楷体" w:eastAsia="楷体" w:cs="楷体"/>
        </w:rPr>
        <w:fldChar w:fldCharType="separate"/>
      </w:r>
      <w:r>
        <w:rPr>
          <w:rFonts w:hint="eastAsia" w:ascii="楷体" w:hAnsi="楷体" w:eastAsia="楷体" w:cs="楷体"/>
        </w:rPr>
        <w:t>（二）评价对象</w:t>
      </w:r>
      <w:r>
        <w:rPr>
          <w:rFonts w:hint="eastAsia" w:ascii="楷体" w:hAnsi="楷体" w:eastAsia="楷体" w:cs="楷体"/>
        </w:rPr>
        <w:fldChar w:fldCharType="end"/>
      </w:r>
      <w:bookmarkEnd w:id="42"/>
      <w:r>
        <w:rPr>
          <w:rFonts w:hint="eastAsia" w:ascii="楷体" w:hAnsi="楷体" w:eastAsia="楷体" w:cs="楷体"/>
        </w:rPr>
        <w:t>和范围</w:t>
      </w:r>
      <w:bookmarkEnd w:id="43"/>
    </w:p>
    <w:p>
      <w:pPr>
        <w:spacing w:line="360" w:lineRule="auto"/>
        <w:rPr>
          <w:bCs/>
          <w:szCs w:val="32"/>
        </w:rPr>
      </w:pPr>
      <w:r>
        <w:rPr>
          <w:rFonts w:hint="eastAsia"/>
          <w:bCs/>
          <w:szCs w:val="32"/>
        </w:rPr>
        <w:t>本次绩效评价对象为省委</w:t>
      </w:r>
      <w:r>
        <w:rPr>
          <w:bCs/>
          <w:szCs w:val="32"/>
        </w:rPr>
        <w:t>编办</w:t>
      </w:r>
      <w:r>
        <w:rPr>
          <w:rFonts w:hint="eastAsia"/>
          <w:bCs/>
          <w:szCs w:val="32"/>
        </w:rPr>
        <w:t>2020年专项业务费</w:t>
      </w:r>
      <w:r>
        <w:rPr>
          <w:rFonts w:hint="eastAsia"/>
        </w:rPr>
        <w:t>403.6907万元</w:t>
      </w:r>
      <w:r>
        <w:rPr>
          <w:rFonts w:hint="eastAsia"/>
          <w:bCs/>
          <w:szCs w:val="32"/>
        </w:rPr>
        <w:t>。</w:t>
      </w:r>
    </w:p>
    <w:p>
      <w:pPr>
        <w:pStyle w:val="4"/>
        <w:keepNext w:val="0"/>
        <w:keepLines w:val="0"/>
        <w:spacing w:line="360" w:lineRule="auto"/>
        <w:ind w:firstLine="643"/>
        <w:rPr>
          <w:rFonts w:ascii="楷体" w:hAnsi="楷体" w:eastAsia="楷体" w:cs="楷体"/>
        </w:rPr>
      </w:pPr>
      <w:bookmarkStart w:id="44" w:name="_Toc14749"/>
      <w:r>
        <w:rPr>
          <w:rFonts w:hint="eastAsia" w:ascii="楷体" w:hAnsi="楷体" w:eastAsia="楷体" w:cs="楷体"/>
        </w:rPr>
        <w:t>（三）评价依据</w:t>
      </w:r>
      <w:bookmarkEnd w:id="44"/>
    </w:p>
    <w:p>
      <w:pPr>
        <w:spacing w:line="360" w:lineRule="auto"/>
      </w:pPr>
      <w:r>
        <w:rPr>
          <w:rFonts w:hint="eastAsia"/>
        </w:rPr>
        <w:t>省委</w:t>
      </w:r>
      <w:r>
        <w:t>编办</w:t>
      </w:r>
      <w:r>
        <w:rPr>
          <w:rFonts w:hint="eastAsia"/>
        </w:rPr>
        <w:t>2020年专项业务费项目绩效评价依据如下：</w:t>
      </w:r>
    </w:p>
    <w:p>
      <w:pPr>
        <w:spacing w:line="360" w:lineRule="auto"/>
      </w:pPr>
      <w:r>
        <w:rPr>
          <w:rFonts w:hint="eastAsia"/>
        </w:rPr>
        <w:t>1.《中华人民共和国预算法》；</w:t>
      </w:r>
    </w:p>
    <w:p>
      <w:pPr>
        <w:spacing w:line="360" w:lineRule="auto"/>
      </w:pPr>
      <w:r>
        <w:rPr>
          <w:rFonts w:hint="eastAsia"/>
        </w:rPr>
        <w:t>2.《中国共产党机构编制工作条例》；</w:t>
      </w:r>
    </w:p>
    <w:p>
      <w:pPr>
        <w:spacing w:line="360" w:lineRule="auto"/>
      </w:pPr>
      <w:r>
        <w:rPr>
          <w:rFonts w:hint="eastAsia"/>
        </w:rPr>
        <w:t>3.《财政部关于印发&lt;预算绩效评价共性指标体系框架&gt;的通知》（财预〔2013〕53号）；</w:t>
      </w:r>
    </w:p>
    <w:p>
      <w:r>
        <w:rPr>
          <w:rFonts w:hint="eastAsia"/>
        </w:rPr>
        <w:t>4.《中共中央国务院关于全面实施预算绩效管理的意见》（中发〔2018〕34号）；</w:t>
      </w:r>
    </w:p>
    <w:p>
      <w:r>
        <w:rPr>
          <w:rFonts w:hint="eastAsia"/>
        </w:rPr>
        <w:t>5.《关于贯彻落实&lt;中共中央国务院关于全面实施预算绩效管理的意见&gt;的通知》（财预〔2018〕167号）；</w:t>
      </w:r>
    </w:p>
    <w:p>
      <w:r>
        <w:rPr>
          <w:rFonts w:hint="eastAsia"/>
        </w:rPr>
        <w:t>6.甘肃省委、省政府《关于全面实施预算绩效管理的实施意见》（甘发〔2018〕32号）；</w:t>
      </w:r>
    </w:p>
    <w:p>
      <w:r>
        <w:rPr>
          <w:rFonts w:hint="eastAsia"/>
        </w:rPr>
        <w:t>7.《财政部关于印发&lt;项目支出绩效评价管理办法&gt;的 通知》（财预〔2020〕10号）；</w:t>
      </w:r>
    </w:p>
    <w:p>
      <w:pPr>
        <w:spacing w:line="360" w:lineRule="auto"/>
      </w:pPr>
      <w:r>
        <w:rPr>
          <w:rFonts w:hint="eastAsia"/>
        </w:rPr>
        <w:t>8.《甘肃省省级项目支出绩效部门评价和财政评价工作规程》（甘财绩〔2020〕5号）；</w:t>
      </w:r>
    </w:p>
    <w:p>
      <w:pPr>
        <w:spacing w:line="360" w:lineRule="auto"/>
      </w:pPr>
      <w:r>
        <w:rPr>
          <w:rFonts w:hint="eastAsia"/>
        </w:rPr>
        <w:t>9.《中共甘肃省委机构编制委员会办公室2020年工作要点》；</w:t>
      </w:r>
    </w:p>
    <w:p>
      <w:pPr>
        <w:spacing w:line="360" w:lineRule="auto"/>
      </w:pPr>
      <w:r>
        <w:rPr>
          <w:rFonts w:hint="eastAsia"/>
        </w:rPr>
        <w:t>10.《甘肃省财政厅关于开展2020年度省级预算执行情况绩效部门评价和财政评价工作的通知》（甘财绩〔2021〕4号）。</w:t>
      </w:r>
    </w:p>
    <w:p>
      <w:pPr>
        <w:pStyle w:val="4"/>
        <w:keepNext w:val="0"/>
        <w:keepLines w:val="0"/>
        <w:spacing w:line="360" w:lineRule="auto"/>
        <w:ind w:firstLine="643"/>
        <w:rPr>
          <w:rFonts w:ascii="楷体" w:hAnsi="楷体" w:eastAsia="楷体" w:cs="楷体"/>
        </w:rPr>
      </w:pPr>
      <w:bookmarkStart w:id="45" w:name="_Toc16103"/>
      <w:r>
        <w:rPr>
          <w:rFonts w:hint="eastAsia" w:ascii="楷体" w:hAnsi="楷体" w:eastAsia="楷体" w:cs="楷体"/>
        </w:rPr>
        <w:t>（四）评价原则</w:t>
      </w:r>
      <w:bookmarkEnd w:id="45"/>
    </w:p>
    <w:p>
      <w:pPr>
        <w:spacing w:line="360" w:lineRule="auto"/>
      </w:pPr>
      <w:r>
        <w:rPr>
          <w:rFonts w:hint="eastAsia"/>
        </w:rPr>
        <w:t>本次绩效评价遵循以下原则：</w:t>
      </w:r>
    </w:p>
    <w:p>
      <w:pPr>
        <w:spacing w:line="360" w:lineRule="auto"/>
        <w:ind w:firstLine="643"/>
        <w:rPr>
          <w:b/>
          <w:bCs/>
        </w:rPr>
      </w:pPr>
      <w:r>
        <w:rPr>
          <w:rFonts w:hint="eastAsia"/>
          <w:b/>
          <w:bCs/>
        </w:rPr>
        <w:t>1.科学规范原则</w:t>
      </w:r>
    </w:p>
    <w:p>
      <w:bookmarkStart w:id="46" w:name="_Toc17204"/>
      <w:r>
        <w:rPr>
          <w:rFonts w:hint="eastAsia"/>
        </w:rPr>
        <w:t>此次绩效评价运用科学合理的方法，按照规范的程序，对省委</w:t>
      </w:r>
      <w:r>
        <w:t>编办</w:t>
      </w:r>
      <w:r>
        <w:rPr>
          <w:rFonts w:hint="eastAsia"/>
        </w:rPr>
        <w:t>2020年专项业务费使用情况进行客观、公正的反映。</w:t>
      </w:r>
      <w:bookmarkEnd w:id="46"/>
    </w:p>
    <w:p>
      <w:pPr>
        <w:ind w:firstLine="643"/>
        <w:rPr>
          <w:b/>
          <w:bCs/>
        </w:rPr>
      </w:pPr>
      <w:bookmarkStart w:id="47" w:name="_Toc21373"/>
      <w:r>
        <w:rPr>
          <w:rFonts w:hint="eastAsia"/>
          <w:b/>
          <w:bCs/>
        </w:rPr>
        <w:t>2.统筹兼顾原则</w:t>
      </w:r>
      <w:bookmarkEnd w:id="47"/>
    </w:p>
    <w:p>
      <w:bookmarkStart w:id="48" w:name="_Toc32260"/>
      <w:r>
        <w:rPr>
          <w:rFonts w:hint="eastAsia"/>
        </w:rPr>
        <w:t>此次绩效评价委托第三方进行，绩效评价结果将报送省委</w:t>
      </w:r>
      <w:r>
        <w:t>编办</w:t>
      </w:r>
      <w:r>
        <w:rPr>
          <w:rFonts w:hint="eastAsia"/>
        </w:rPr>
        <w:t>作为主管单位评价参考依据。</w:t>
      </w:r>
      <w:bookmarkEnd w:id="48"/>
    </w:p>
    <w:p>
      <w:pPr>
        <w:ind w:firstLine="643"/>
        <w:rPr>
          <w:b/>
          <w:bCs/>
        </w:rPr>
      </w:pPr>
      <w:bookmarkStart w:id="49" w:name="_Toc4991"/>
      <w:r>
        <w:rPr>
          <w:rFonts w:hint="eastAsia"/>
          <w:b/>
          <w:bCs/>
        </w:rPr>
        <w:t>3.激励约束原则</w:t>
      </w:r>
      <w:bookmarkEnd w:id="49"/>
    </w:p>
    <w:p>
      <w:bookmarkStart w:id="50" w:name="_Toc24142"/>
      <w:r>
        <w:rPr>
          <w:rFonts w:hint="eastAsia"/>
        </w:rPr>
        <w:t>此次绩效评价结果与预算安排、政策调整、改进管理实质性挂钩，体现奖优罚劣和激励相容导向，有效要安排、低效要压减、无效要问责。</w:t>
      </w:r>
      <w:bookmarkEnd w:id="50"/>
    </w:p>
    <w:p>
      <w:pPr>
        <w:ind w:firstLine="643"/>
        <w:rPr>
          <w:b/>
          <w:bCs/>
        </w:rPr>
      </w:pPr>
      <w:bookmarkStart w:id="51" w:name="_Toc15567"/>
      <w:r>
        <w:rPr>
          <w:rFonts w:hint="eastAsia"/>
          <w:b/>
          <w:bCs/>
        </w:rPr>
        <w:t>4.公开透明原则</w:t>
      </w:r>
      <w:bookmarkEnd w:id="51"/>
    </w:p>
    <w:p>
      <w:bookmarkStart w:id="52" w:name="_Toc623"/>
      <w:r>
        <w:rPr>
          <w:rFonts w:hint="eastAsia"/>
        </w:rPr>
        <w:t>此次绩效评价结果将依法依规公开，并自觉接受社会监督。</w:t>
      </w:r>
      <w:bookmarkEnd w:id="52"/>
    </w:p>
    <w:p>
      <w:pPr>
        <w:pStyle w:val="4"/>
        <w:keepNext w:val="0"/>
        <w:keepLines w:val="0"/>
        <w:spacing w:line="360" w:lineRule="auto"/>
        <w:ind w:firstLine="643"/>
        <w:rPr>
          <w:rFonts w:ascii="楷体" w:hAnsi="楷体" w:eastAsia="楷体" w:cs="楷体"/>
        </w:rPr>
      </w:pPr>
      <w:bookmarkStart w:id="53" w:name="_Toc29781"/>
      <w:r>
        <w:rPr>
          <w:rFonts w:hint="eastAsia" w:ascii="楷体" w:hAnsi="楷体" w:eastAsia="楷体" w:cs="楷体"/>
        </w:rPr>
        <w:t>（五）评价方法</w:t>
      </w:r>
      <w:bookmarkEnd w:id="53"/>
    </w:p>
    <w:p>
      <w:pPr>
        <w:spacing w:line="360" w:lineRule="auto"/>
        <w:ind w:firstLine="643"/>
      </w:pPr>
      <w:r>
        <w:rPr>
          <w:rFonts w:hint="eastAsia"/>
          <w:b/>
          <w:bCs/>
        </w:rPr>
        <w:t>1.比较法</w:t>
      </w:r>
    </w:p>
    <w:p>
      <w:pPr>
        <w:spacing w:line="360" w:lineRule="auto"/>
      </w:pPr>
      <w:r>
        <w:rPr>
          <w:rFonts w:hint="eastAsia"/>
        </w:rPr>
        <w:t>选用目标比较法，通过对省委编</w:t>
      </w:r>
      <w:r>
        <w:t>办</w:t>
      </w:r>
      <w:r>
        <w:rPr>
          <w:rFonts w:hint="eastAsia"/>
        </w:rPr>
        <w:t>2020年专项业务费项目的年度目标和实际完成情况进行对比，考虑研究影响目标完成情况的各个因素，采取定量分析与定性分析相结合的方法，综合分析，最后依据分析结果进行绩效评价；选用动态比较法，通过对不同时期的同类财政支出效果的历史数据进行比较，得出项目过去的效益波动及变化情况，并结合既定指标体系评价标准综合分析，进而进行绩效评价。</w:t>
      </w:r>
    </w:p>
    <w:p>
      <w:pPr>
        <w:spacing w:line="360" w:lineRule="auto"/>
        <w:ind w:firstLine="643"/>
      </w:pPr>
      <w:r>
        <w:rPr>
          <w:rFonts w:hint="eastAsia"/>
          <w:b/>
          <w:bCs/>
        </w:rPr>
        <w:t>2.公众评判法</w:t>
      </w:r>
      <w:r>
        <w:rPr>
          <w:rFonts w:hint="eastAsia"/>
        </w:rPr>
        <w:t xml:space="preserve"> </w:t>
      </w:r>
    </w:p>
    <w:p>
      <w:pPr>
        <w:spacing w:line="360" w:lineRule="auto"/>
      </w:pPr>
      <w:r>
        <w:rPr>
          <w:rFonts w:hint="eastAsia"/>
        </w:rPr>
        <w:t>通过查阅资料，结合设计的调查问卷，对项目开展调查，了解省委编</w:t>
      </w:r>
      <w:r>
        <w:t>办</w:t>
      </w:r>
      <w:r>
        <w:rPr>
          <w:rFonts w:hint="eastAsia"/>
        </w:rPr>
        <w:t>2020年专项业务费项目的开展情况，项目实施的效果，各单位及内部工作人员对项目实施及其效果的认可度和满意度，最终总结分析出受益对象的满意程度和项目实施效果。</w:t>
      </w:r>
    </w:p>
    <w:p>
      <w:pPr>
        <w:pStyle w:val="4"/>
        <w:keepNext w:val="0"/>
        <w:keepLines w:val="0"/>
        <w:spacing w:line="360" w:lineRule="auto"/>
        <w:ind w:firstLine="643"/>
        <w:rPr>
          <w:rFonts w:ascii="楷体" w:hAnsi="楷体" w:eastAsia="楷体" w:cs="楷体"/>
        </w:rPr>
      </w:pPr>
      <w:bookmarkStart w:id="54" w:name="_Toc25539"/>
      <w:r>
        <w:rPr>
          <w:rFonts w:hint="eastAsia" w:ascii="楷体" w:hAnsi="楷体" w:eastAsia="楷体" w:cs="楷体"/>
        </w:rPr>
        <w:t>（六）绩效评价指标体系</w:t>
      </w:r>
      <w:bookmarkEnd w:id="54"/>
    </w:p>
    <w:p>
      <w:pPr>
        <w:spacing w:line="360" w:lineRule="auto"/>
      </w:pPr>
      <w:r>
        <w:rPr>
          <w:rFonts w:hint="eastAsia"/>
        </w:rPr>
        <w:t>本次绩效评价指标体系紧紧围绕项目决策、项目组织管理、资金投入与使用、项目实施进度及目标实现情况等重要内容进行设计，结合绩效评价方法，从项目决策、过程、产出、效果四个方面对项目实施情况进行综合评价。各项</w:t>
      </w:r>
      <w:r>
        <w:rPr>
          <w:rFonts w:hint="eastAsia" w:hAnsi="Times New Roman"/>
          <w:bCs/>
          <w:szCs w:val="32"/>
        </w:rPr>
        <w:t>指标权重设计，按照</w:t>
      </w:r>
      <w:r>
        <w:rPr>
          <w:rFonts w:hint="eastAsia"/>
          <w:bCs/>
          <w:szCs w:val="32"/>
        </w:rPr>
        <w:t>《财政部关于印发</w:t>
      </w:r>
      <w:r>
        <w:rPr>
          <w:rFonts w:hint="eastAsia" w:cs="仿宋_GB2312"/>
          <w:szCs w:val="32"/>
        </w:rPr>
        <w:t>&lt;</w:t>
      </w:r>
      <w:r>
        <w:rPr>
          <w:rFonts w:hint="eastAsia"/>
          <w:bCs/>
          <w:szCs w:val="32"/>
        </w:rPr>
        <w:t>项目支出绩效评价管理办法&gt;的通知》（财预〔2020〕10号）</w:t>
      </w:r>
      <w:r>
        <w:rPr>
          <w:rFonts w:hint="eastAsia"/>
        </w:rPr>
        <w:t>文件中“应当</w:t>
      </w:r>
      <w:r>
        <w:rPr>
          <w:rFonts w:hint="eastAsia" w:hAnsi="Times New Roman"/>
          <w:bCs/>
          <w:szCs w:val="32"/>
        </w:rPr>
        <w:t>突出结果导向，原则上产出、效益指标权重不低于60%”的要求进行合理赋分。具体评价指标内容如下：</w:t>
      </w:r>
    </w:p>
    <w:p>
      <w:pPr>
        <w:spacing w:line="360" w:lineRule="auto"/>
        <w:ind w:firstLine="643"/>
      </w:pPr>
      <w:r>
        <w:rPr>
          <w:rFonts w:hint="eastAsia"/>
          <w:b/>
          <w:bCs/>
        </w:rPr>
        <w:t>1.决策</w:t>
      </w:r>
      <w:r>
        <w:rPr>
          <w:rFonts w:hint="eastAsia"/>
        </w:rPr>
        <w:t>：占权重分</w:t>
      </w:r>
      <w:r>
        <w:t>1</w:t>
      </w:r>
      <w:r>
        <w:rPr>
          <w:rFonts w:hint="eastAsia"/>
        </w:rPr>
        <w:t>2分，从项目申报、绩效目标、资金投入三个方面进行评价分析，主要考核项目申报依据的充分性、项目申报的规范性、绩效目标设定的合理性、绩效指标设定的明确性、预算编制科学性、资金分配合理性等。</w:t>
      </w:r>
    </w:p>
    <w:p>
      <w:pPr>
        <w:spacing w:line="360" w:lineRule="auto"/>
        <w:ind w:firstLine="643"/>
      </w:pPr>
      <w:r>
        <w:rPr>
          <w:rFonts w:hint="eastAsia"/>
          <w:b/>
          <w:bCs/>
        </w:rPr>
        <w:t>2.过程：</w:t>
      </w:r>
      <w:r>
        <w:rPr>
          <w:rFonts w:hint="eastAsia"/>
        </w:rPr>
        <w:t>占权重分</w:t>
      </w:r>
      <w:r>
        <w:t>2</w:t>
      </w:r>
      <w:r>
        <w:rPr>
          <w:rFonts w:hint="eastAsia"/>
        </w:rPr>
        <w:t>5分，从资金管理和组织实施两个方面进行评价分析，主要考核项目资金到位率、项目预算执行情况、资金使用合规性情况、会计信息质量情况、管理制度制定及执行情况、采购管理及项目档案管理情况等。</w:t>
      </w:r>
    </w:p>
    <w:p>
      <w:pPr>
        <w:spacing w:line="360" w:lineRule="auto"/>
        <w:ind w:firstLine="643"/>
        <w:textAlignment w:val="center"/>
        <w:rPr>
          <w:rFonts w:asciiTheme="minorEastAsia" w:hAnsiTheme="minorEastAsia" w:cstheme="minorEastAsia"/>
          <w:kern w:val="0"/>
          <w:sz w:val="24"/>
        </w:rPr>
      </w:pPr>
      <w:r>
        <w:rPr>
          <w:rFonts w:hint="eastAsia"/>
          <w:b/>
          <w:bCs/>
        </w:rPr>
        <w:t>3.产出：</w:t>
      </w:r>
      <w:r>
        <w:rPr>
          <w:rFonts w:hint="eastAsia"/>
        </w:rPr>
        <w:t>占权重分37分，从产出数量、产出质量、产出时效和产出成本四个方面进行绩效分析，具体包括系统升级改造、培训、考察调研机构改革的实际完成情况及完成质量，系统升级维护、会议培训、用电保障等产出时效、项目预算成本控制情况等。</w:t>
      </w:r>
    </w:p>
    <w:p>
      <w:pPr>
        <w:spacing w:line="360" w:lineRule="auto"/>
        <w:ind w:firstLine="643"/>
      </w:pPr>
      <w:r>
        <w:rPr>
          <w:rFonts w:hint="eastAsia"/>
          <w:b/>
          <w:bCs/>
        </w:rPr>
        <w:t>4.效益：</w:t>
      </w:r>
      <w:r>
        <w:rPr>
          <w:rFonts w:hint="eastAsia"/>
        </w:rPr>
        <w:t>占权重分26分，从经济社会效益、可持续影响、满意度三个方面进行评价分析，主要考核项目实施后在巩固深化机构改革成果、优化编制资源配置、推进重点领域改革、提升机构编制法制意识等方面发挥的社会效益情况，在提升机构编制管理服务水平、建立健全部门协作机制、建立信息共享机制等方面产生的可持续影响作用，以及单位工作人员对项目实施的满意度等。</w:t>
      </w:r>
    </w:p>
    <w:p>
      <w:pPr>
        <w:pStyle w:val="4"/>
        <w:keepNext w:val="0"/>
        <w:keepLines w:val="0"/>
        <w:spacing w:line="360" w:lineRule="auto"/>
        <w:ind w:firstLine="643"/>
        <w:rPr>
          <w:rFonts w:ascii="楷体" w:hAnsi="楷体" w:eastAsia="楷体" w:cs="楷体"/>
        </w:rPr>
      </w:pPr>
      <w:bookmarkStart w:id="55" w:name="_Toc24002"/>
      <w:r>
        <w:rPr>
          <w:rFonts w:hint="eastAsia" w:ascii="楷体" w:hAnsi="楷体" w:eastAsia="楷体" w:cs="楷体"/>
        </w:rPr>
        <w:t>（七）评价人员组成</w:t>
      </w:r>
      <w:bookmarkEnd w:id="55"/>
    </w:p>
    <w:p>
      <w:pPr>
        <w:rPr>
          <w:rFonts w:hAnsi="Calibri" w:cs="黑体"/>
          <w:bCs/>
        </w:rPr>
      </w:pPr>
      <w:r>
        <w:rPr>
          <w:rFonts w:hint="eastAsia" w:hAnsi="Calibri" w:cs="黑体"/>
          <w:bCs/>
        </w:rPr>
        <w:t>为加强对绩效评价工作的组织和管理，绩效评价机构根据此次工作需求，成立此次项目绩效评价工作组，负责项目绩效评价的组织协调、调研访谈及报告撰写等工作。在具体工作开展过程中，实施人员的构成将采取“项目经理+项目助理”的模式开展。具体人员组成如下：</w:t>
      </w:r>
    </w:p>
    <w:p>
      <w:pPr>
        <w:ind w:firstLine="643"/>
        <w:rPr>
          <w:rFonts w:hAnsi="Calibri" w:cs="黑体"/>
          <w:bCs/>
        </w:rPr>
      </w:pPr>
      <w:r>
        <w:rPr>
          <w:rFonts w:hint="eastAsia" w:hAnsi="Calibri" w:cs="黑体"/>
          <w:b/>
        </w:rPr>
        <w:t>项目经理：</w:t>
      </w:r>
      <w:r>
        <w:rPr>
          <w:rFonts w:hint="eastAsia" w:hAnsi="Calibri" w:cs="黑体"/>
          <w:bCs/>
        </w:rPr>
        <w:t>为项目绩效评价的总负责人，统筹绩效评价整体工作，包括绩效评价前期资料的准备、现场核查工作的安排、评价过程中的沟通协调、数据分析及报告撰写等工作。</w:t>
      </w:r>
    </w:p>
    <w:p>
      <w:pPr>
        <w:ind w:firstLine="643"/>
        <w:rPr>
          <w:rFonts w:ascii="宋体" w:hAnsi="宋体" w:eastAsia="宋体" w:cs="宋体"/>
          <w:b/>
          <w:sz w:val="28"/>
          <w:szCs w:val="28"/>
        </w:rPr>
      </w:pPr>
      <w:r>
        <w:rPr>
          <w:rFonts w:hint="eastAsia" w:hAnsi="Calibri" w:cs="黑体"/>
          <w:b/>
        </w:rPr>
        <w:t>项目助理：</w:t>
      </w:r>
      <w:r>
        <w:rPr>
          <w:rFonts w:hint="eastAsia" w:hAnsi="Calibri" w:cs="黑体"/>
          <w:bCs/>
        </w:rPr>
        <w:t>按照1名项目经理配2名项目助理的方式进行助理的调配，项目助理负责辅助项目经理的工作，帮助收集资料及现场问卷的发放等基础性工作。具体人员的安排如下。</w:t>
      </w:r>
    </w:p>
    <w:p>
      <w:pPr>
        <w:ind w:firstLine="0" w:firstLineChars="0"/>
        <w:jc w:val="center"/>
        <w:rPr>
          <w:rFonts w:ascii="宋体" w:hAnsi="宋体" w:eastAsia="宋体" w:cs="宋体"/>
          <w:b/>
          <w:sz w:val="28"/>
          <w:szCs w:val="28"/>
        </w:rPr>
      </w:pPr>
      <w:r>
        <w:rPr>
          <w:rFonts w:hint="eastAsia" w:ascii="宋体" w:hAnsi="宋体" w:eastAsia="宋体" w:cs="宋体"/>
          <w:b/>
          <w:sz w:val="28"/>
          <w:szCs w:val="28"/>
        </w:rPr>
        <w:t>中共甘肃省委机构编制委员会办公室2020年专项业务费项目支出绩效评价人员安排</w:t>
      </w:r>
    </w:p>
    <w:tbl>
      <w:tblPr>
        <w:tblStyle w:val="16"/>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698"/>
        <w:gridCol w:w="1100"/>
        <w:gridCol w:w="1727"/>
        <w:gridCol w:w="4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blHeader/>
        </w:trPr>
        <w:tc>
          <w:tcPr>
            <w:tcW w:w="701" w:type="pct"/>
            <w:shd w:val="clear" w:color="auto" w:fill="A4A4A4"/>
            <w:noWrap/>
            <w:vAlign w:val="center"/>
          </w:tcPr>
          <w:p>
            <w:pPr>
              <w:spacing w:line="280" w:lineRule="exact"/>
              <w:ind w:firstLine="0" w:firstLineChars="0"/>
              <w:jc w:val="center"/>
              <w:rPr>
                <w:rFonts w:ascii="宋体" w:hAnsi="宋体" w:eastAsia="宋体" w:cs="宋体"/>
                <w:b/>
                <w:bCs/>
                <w:sz w:val="24"/>
              </w:rPr>
            </w:pPr>
            <w:r>
              <w:rPr>
                <w:rFonts w:hint="eastAsia" w:ascii="宋体" w:hAnsi="宋体" w:eastAsia="宋体" w:cs="宋体"/>
                <w:b/>
                <w:bCs/>
                <w:sz w:val="24"/>
              </w:rPr>
              <w:t>姓名</w:t>
            </w:r>
          </w:p>
        </w:tc>
        <w:tc>
          <w:tcPr>
            <w:tcW w:w="534" w:type="pct"/>
            <w:shd w:val="clear" w:color="auto" w:fill="A4A4A4"/>
            <w:noWrap/>
            <w:vAlign w:val="center"/>
          </w:tcPr>
          <w:p>
            <w:pPr>
              <w:spacing w:line="280" w:lineRule="exact"/>
              <w:ind w:firstLine="0" w:firstLineChars="0"/>
              <w:jc w:val="center"/>
              <w:rPr>
                <w:rFonts w:ascii="宋体" w:hAnsi="宋体" w:eastAsia="宋体" w:cs="宋体"/>
                <w:b/>
                <w:bCs/>
                <w:sz w:val="24"/>
              </w:rPr>
            </w:pPr>
            <w:r>
              <w:rPr>
                <w:rFonts w:hint="eastAsia" w:ascii="宋体" w:hAnsi="宋体" w:eastAsia="宋体" w:cs="宋体"/>
                <w:b/>
                <w:bCs/>
                <w:sz w:val="24"/>
              </w:rPr>
              <w:t>学历</w:t>
            </w:r>
          </w:p>
        </w:tc>
        <w:tc>
          <w:tcPr>
            <w:tcW w:w="821" w:type="pct"/>
            <w:shd w:val="clear" w:color="auto" w:fill="A4A4A4"/>
            <w:noWrap/>
            <w:vAlign w:val="center"/>
          </w:tcPr>
          <w:p>
            <w:pPr>
              <w:spacing w:line="280" w:lineRule="exact"/>
              <w:ind w:firstLine="0" w:firstLineChars="0"/>
              <w:jc w:val="center"/>
              <w:rPr>
                <w:rFonts w:ascii="宋体" w:hAnsi="宋体" w:eastAsia="宋体" w:cs="宋体"/>
                <w:b/>
                <w:bCs/>
                <w:sz w:val="24"/>
              </w:rPr>
            </w:pPr>
            <w:r>
              <w:rPr>
                <w:rFonts w:hint="eastAsia" w:ascii="宋体" w:hAnsi="宋体" w:eastAsia="宋体" w:cs="宋体"/>
                <w:b/>
                <w:bCs/>
                <w:sz w:val="24"/>
              </w:rPr>
              <w:t>专业</w:t>
            </w:r>
          </w:p>
        </w:tc>
        <w:tc>
          <w:tcPr>
            <w:tcW w:w="1163" w:type="pct"/>
            <w:shd w:val="clear" w:color="auto" w:fill="A4A4A4"/>
            <w:noWrap/>
            <w:vAlign w:val="center"/>
          </w:tcPr>
          <w:p>
            <w:pPr>
              <w:spacing w:line="280" w:lineRule="exact"/>
              <w:ind w:firstLine="0" w:firstLineChars="0"/>
              <w:jc w:val="center"/>
              <w:rPr>
                <w:rFonts w:ascii="宋体" w:hAnsi="宋体" w:eastAsia="宋体" w:cs="宋体"/>
                <w:b/>
                <w:bCs/>
                <w:sz w:val="24"/>
              </w:rPr>
            </w:pPr>
            <w:r>
              <w:rPr>
                <w:rFonts w:hint="eastAsia" w:ascii="宋体" w:hAnsi="宋体" w:eastAsia="宋体" w:cs="宋体"/>
                <w:b/>
                <w:bCs/>
                <w:sz w:val="24"/>
              </w:rPr>
              <w:t>职位</w:t>
            </w:r>
          </w:p>
        </w:tc>
        <w:tc>
          <w:tcPr>
            <w:tcW w:w="1778" w:type="pct"/>
            <w:shd w:val="clear" w:color="auto" w:fill="A4A4A4"/>
            <w:noWrap/>
            <w:vAlign w:val="center"/>
          </w:tcPr>
          <w:p>
            <w:pPr>
              <w:spacing w:line="280" w:lineRule="exact"/>
              <w:ind w:firstLine="0" w:firstLineChars="0"/>
              <w:jc w:val="center"/>
              <w:rPr>
                <w:rFonts w:ascii="宋体" w:hAnsi="宋体" w:eastAsia="宋体" w:cs="宋体"/>
                <w:b/>
                <w:bCs/>
                <w:sz w:val="24"/>
              </w:rPr>
            </w:pPr>
            <w:r>
              <w:rPr>
                <w:rFonts w:hint="eastAsia" w:ascii="宋体" w:hAnsi="宋体" w:eastAsia="宋体" w:cs="宋体"/>
                <w:b/>
                <w:bCs/>
                <w:sz w:val="24"/>
              </w:rPr>
              <w:t>具体职责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王俊涛</w:t>
            </w:r>
          </w:p>
        </w:tc>
        <w:tc>
          <w:tcPr>
            <w:tcW w:w="534"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本科</w:t>
            </w:r>
          </w:p>
        </w:tc>
        <w:tc>
          <w:tcPr>
            <w:tcW w:w="821"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经济学</w:t>
            </w:r>
          </w:p>
        </w:tc>
        <w:tc>
          <w:tcPr>
            <w:tcW w:w="1163"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项目经理</w:t>
            </w:r>
          </w:p>
        </w:tc>
        <w:tc>
          <w:tcPr>
            <w:tcW w:w="1778"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负责整个绩效评价工作的顺利推进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38" w:type="dxa"/>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吴雪洁</w:t>
            </w:r>
          </w:p>
        </w:tc>
        <w:tc>
          <w:tcPr>
            <w:tcW w:w="698" w:type="dxa"/>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本科</w:t>
            </w:r>
          </w:p>
        </w:tc>
        <w:tc>
          <w:tcPr>
            <w:tcW w:w="1100" w:type="dxa"/>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财务</w:t>
            </w:r>
          </w:p>
          <w:p>
            <w:pPr>
              <w:spacing w:line="280" w:lineRule="exact"/>
              <w:ind w:firstLine="0" w:firstLineChars="0"/>
              <w:jc w:val="center"/>
              <w:rPr>
                <w:rFonts w:ascii="宋体" w:hAnsi="宋体" w:eastAsia="宋体" w:cs="宋体"/>
                <w:sz w:val="24"/>
              </w:rPr>
            </w:pPr>
            <w:r>
              <w:rPr>
                <w:rFonts w:hint="eastAsia" w:ascii="宋体" w:hAnsi="宋体" w:eastAsia="宋体" w:cs="宋体"/>
                <w:sz w:val="24"/>
              </w:rPr>
              <w:t>管理</w:t>
            </w:r>
          </w:p>
        </w:tc>
        <w:tc>
          <w:tcPr>
            <w:tcW w:w="1727" w:type="dxa"/>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项目经理</w:t>
            </w:r>
          </w:p>
        </w:tc>
        <w:tc>
          <w:tcPr>
            <w:tcW w:w="4056" w:type="dxa"/>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辅助经理做好资料收集工作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1"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马博洋</w:t>
            </w:r>
          </w:p>
        </w:tc>
        <w:tc>
          <w:tcPr>
            <w:tcW w:w="534"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本科</w:t>
            </w:r>
          </w:p>
        </w:tc>
        <w:tc>
          <w:tcPr>
            <w:tcW w:w="821"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经济学</w:t>
            </w:r>
          </w:p>
        </w:tc>
        <w:tc>
          <w:tcPr>
            <w:tcW w:w="1163"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项目助理</w:t>
            </w:r>
          </w:p>
        </w:tc>
        <w:tc>
          <w:tcPr>
            <w:tcW w:w="1778" w:type="pct"/>
            <w:noWrap/>
            <w:vAlign w:val="center"/>
          </w:tcPr>
          <w:p>
            <w:pPr>
              <w:spacing w:line="280" w:lineRule="exact"/>
              <w:ind w:firstLine="0" w:firstLineChars="0"/>
              <w:jc w:val="center"/>
              <w:rPr>
                <w:rFonts w:ascii="宋体" w:hAnsi="宋体" w:eastAsia="宋体" w:cs="宋体"/>
                <w:sz w:val="24"/>
              </w:rPr>
            </w:pPr>
            <w:r>
              <w:rPr>
                <w:rFonts w:hint="eastAsia" w:ascii="宋体" w:hAnsi="宋体" w:eastAsia="宋体" w:cs="宋体"/>
                <w:sz w:val="24"/>
              </w:rPr>
              <w:t>对现场核查进行拍照取证、查阅资料</w:t>
            </w:r>
          </w:p>
        </w:tc>
      </w:tr>
    </w:tbl>
    <w:p>
      <w:pPr>
        <w:pStyle w:val="4"/>
        <w:keepNext w:val="0"/>
        <w:keepLines w:val="0"/>
        <w:spacing w:line="360" w:lineRule="auto"/>
        <w:ind w:firstLine="643"/>
        <w:rPr>
          <w:rFonts w:ascii="楷体" w:hAnsi="楷体" w:eastAsia="楷体" w:cs="楷体"/>
        </w:rPr>
      </w:pPr>
      <w:bookmarkStart w:id="56" w:name="_Toc4057"/>
      <w:r>
        <w:rPr>
          <w:rFonts w:hint="eastAsia" w:ascii="楷体" w:hAnsi="楷体" w:eastAsia="楷体" w:cs="楷体"/>
        </w:rPr>
        <w:t>（八）绩效评价工作过程</w:t>
      </w:r>
      <w:bookmarkEnd w:id="56"/>
    </w:p>
    <w:p>
      <w:pPr>
        <w:spacing w:line="360" w:lineRule="auto"/>
        <w:ind w:firstLine="643"/>
        <w:rPr>
          <w:b/>
        </w:rPr>
      </w:pPr>
      <w:r>
        <w:rPr>
          <w:rFonts w:hint="eastAsia"/>
          <w:b/>
        </w:rPr>
        <w:t>1</w:t>
      </w:r>
      <w:r>
        <w:rPr>
          <w:b/>
        </w:rPr>
        <w:t>.</w:t>
      </w:r>
      <w:r>
        <w:rPr>
          <w:rFonts w:hint="eastAsia"/>
          <w:b/>
        </w:rPr>
        <w:t>项目协调推进</w:t>
      </w:r>
    </w:p>
    <w:p>
      <w:pPr>
        <w:spacing w:line="360" w:lineRule="auto"/>
        <w:rPr>
          <w:rFonts w:cs="仿宋_GB2312"/>
          <w:szCs w:val="32"/>
        </w:rPr>
      </w:pPr>
      <w:r>
        <w:rPr>
          <w:rFonts w:hint="eastAsia" w:cs="仿宋_GB2312"/>
          <w:szCs w:val="32"/>
        </w:rPr>
        <w:t>第三方机构项目评价组人员与甘肃省委机构编制委员会办公室本项目绩效评价相关负责人召开项目绩效评价对接会，明确</w:t>
      </w:r>
      <w:r>
        <w:rPr>
          <w:rFonts w:hint="eastAsia"/>
        </w:rPr>
        <w:t>项目</w:t>
      </w:r>
      <w:r>
        <w:rPr>
          <w:rFonts w:hint="eastAsia" w:cs="仿宋_GB2312"/>
          <w:szCs w:val="32"/>
        </w:rPr>
        <w:t>绩效评价要求，统筹安排绩效评价工作具体实施程序。</w:t>
      </w:r>
    </w:p>
    <w:p>
      <w:pPr>
        <w:spacing w:line="360" w:lineRule="auto"/>
        <w:ind w:firstLine="643"/>
        <w:rPr>
          <w:b/>
        </w:rPr>
      </w:pPr>
      <w:r>
        <w:rPr>
          <w:rFonts w:hint="eastAsia"/>
          <w:b/>
        </w:rPr>
        <w:t>2</w:t>
      </w:r>
      <w:r>
        <w:rPr>
          <w:b/>
        </w:rPr>
        <w:t>.</w:t>
      </w:r>
      <w:r>
        <w:rPr>
          <w:rFonts w:hint="eastAsia"/>
          <w:b/>
        </w:rPr>
        <w:t>项目实地调研</w:t>
      </w:r>
    </w:p>
    <w:p>
      <w:pPr>
        <w:spacing w:line="360" w:lineRule="auto"/>
      </w:pPr>
      <w:r>
        <w:rPr>
          <w:rFonts w:hint="eastAsia"/>
        </w:rPr>
        <w:t>项目评价组在项目实施单位收集项目申报、组织实施、资金使用等资料的基础上，对项目实际产出及效益发挥情况进行现场评价，同时通过开展受益对象满意度问卷调查，对项目满意度进行调查分析。</w:t>
      </w:r>
    </w:p>
    <w:p>
      <w:pPr>
        <w:spacing w:line="360" w:lineRule="auto"/>
        <w:ind w:firstLine="643"/>
        <w:rPr>
          <w:b/>
        </w:rPr>
      </w:pPr>
      <w:r>
        <w:rPr>
          <w:rFonts w:hint="eastAsia"/>
          <w:b/>
        </w:rPr>
        <w:t>3</w:t>
      </w:r>
      <w:r>
        <w:rPr>
          <w:b/>
        </w:rPr>
        <w:t>.</w:t>
      </w:r>
      <w:r>
        <w:rPr>
          <w:rFonts w:hint="eastAsia"/>
          <w:b/>
        </w:rPr>
        <w:t>项目绩效打分</w:t>
      </w:r>
    </w:p>
    <w:p>
      <w:pPr>
        <w:spacing w:line="360" w:lineRule="auto"/>
        <w:rPr>
          <w:szCs w:val="32"/>
        </w:rPr>
      </w:pPr>
      <w:r>
        <w:rPr>
          <w:rFonts w:hint="eastAsia"/>
        </w:rPr>
        <w:t>项目评价组根据现场收集资料、</w:t>
      </w:r>
      <w:r>
        <w:rPr>
          <w:rFonts w:hint="eastAsia" w:cs="仿宋_GB2312"/>
        </w:rPr>
        <w:t>实地勘查、问卷调查</w:t>
      </w:r>
      <w:r>
        <w:rPr>
          <w:rFonts w:hint="eastAsia"/>
        </w:rPr>
        <w:t>等方式了解到的项目实际情况，以及通过整理项目实施单位关于项目组织实施、项目资金使用、项目产出效益等佐证材料，对照绩效评价指标体系，逐项进行绩效打分，形成最终评分结果。</w:t>
      </w:r>
    </w:p>
    <w:p>
      <w:pPr>
        <w:spacing w:line="360" w:lineRule="auto"/>
        <w:rPr>
          <w:rFonts w:cs="仿宋_GB2312"/>
        </w:rPr>
      </w:pPr>
      <w:r>
        <w:rPr>
          <w:rFonts w:hint="eastAsia" w:cs="仿宋_GB2312"/>
        </w:rPr>
        <w:t>（1）绩效评分采用打分法，总分设置100分。根据不同评价准则、不同评价问题、各评价指标的重要性，相应赋予不同分值。</w:t>
      </w:r>
    </w:p>
    <w:p>
      <w:pPr>
        <w:spacing w:line="360" w:lineRule="auto"/>
        <w:rPr>
          <w:rFonts w:cs="仿宋_GB2312"/>
        </w:rPr>
      </w:pPr>
      <w:r>
        <w:rPr>
          <w:rFonts w:hint="eastAsia" w:cs="仿宋_GB2312"/>
        </w:rPr>
        <w:t>（2）根据评分标准，达到要求的指标记标准分满分，不能达到标准的按照评分标准进行打分，得分最低为0分。</w:t>
      </w:r>
    </w:p>
    <w:p>
      <w:pPr>
        <w:spacing w:line="360" w:lineRule="auto"/>
        <w:rPr>
          <w:rFonts w:cs="仿宋_GB2312"/>
        </w:rPr>
      </w:pPr>
      <w:r>
        <w:rPr>
          <w:rFonts w:hint="eastAsia" w:cs="仿宋_GB2312"/>
        </w:rPr>
        <w:t>（3）根据</w:t>
      </w:r>
      <w:r>
        <w:rPr>
          <w:rFonts w:hint="eastAsia"/>
          <w:bCs/>
          <w:szCs w:val="32"/>
        </w:rPr>
        <w:t>财政部关于印发</w:t>
      </w:r>
      <w:r>
        <w:rPr>
          <w:rFonts w:hint="eastAsia" w:cs="仿宋_GB2312"/>
          <w:szCs w:val="32"/>
        </w:rPr>
        <w:t>&lt;</w:t>
      </w:r>
      <w:r>
        <w:rPr>
          <w:rFonts w:hint="eastAsia"/>
          <w:bCs/>
          <w:szCs w:val="32"/>
        </w:rPr>
        <w:t>项目支出绩效评价管理办法&gt;的通知》（财预〔2020〕10号）</w:t>
      </w:r>
      <w:r>
        <w:rPr>
          <w:rFonts w:hint="eastAsia" w:cs="仿宋_GB2312"/>
        </w:rPr>
        <w:t>文件，绩效评价结果采用评分和评级相结合的方式，总分设置为100分，等级划分为以下四档：</w:t>
      </w:r>
    </w:p>
    <w:p>
      <w:pPr>
        <w:spacing w:line="360" w:lineRule="auto"/>
        <w:rPr>
          <w:rFonts w:cs="仿宋_GB2312"/>
        </w:rPr>
      </w:pPr>
      <w:r>
        <w:rPr>
          <w:rFonts w:hint="eastAsia" w:cs="仿宋_GB2312"/>
        </w:rPr>
        <w:t>优：90分（含）-100分；</w:t>
      </w:r>
    </w:p>
    <w:p>
      <w:pPr>
        <w:spacing w:line="360" w:lineRule="auto"/>
        <w:rPr>
          <w:rFonts w:cs="仿宋_GB2312"/>
        </w:rPr>
      </w:pPr>
      <w:r>
        <w:rPr>
          <w:rFonts w:hint="eastAsia" w:cs="仿宋_GB2312"/>
        </w:rPr>
        <w:t>良：80分（含）-90分；</w:t>
      </w:r>
    </w:p>
    <w:p>
      <w:pPr>
        <w:spacing w:line="360" w:lineRule="auto"/>
        <w:rPr>
          <w:rFonts w:cs="仿宋_GB2312"/>
        </w:rPr>
      </w:pPr>
      <w:r>
        <w:rPr>
          <w:rFonts w:hint="eastAsia" w:cs="仿宋_GB2312"/>
        </w:rPr>
        <w:t>中：60分（含）-80分；</w:t>
      </w:r>
    </w:p>
    <w:p>
      <w:pPr>
        <w:spacing w:line="360" w:lineRule="auto"/>
        <w:rPr>
          <w:rFonts w:cs="仿宋_GB2312"/>
        </w:rPr>
      </w:pPr>
      <w:r>
        <w:rPr>
          <w:rFonts w:hint="eastAsia" w:cs="仿宋_GB2312"/>
        </w:rPr>
        <w:t>差：60分以下为差。</w:t>
      </w:r>
    </w:p>
    <w:p>
      <w:pPr>
        <w:spacing w:line="360" w:lineRule="auto"/>
        <w:rPr>
          <w:rFonts w:ascii="Times New Roman" w:hAnsi="Times New Roman"/>
        </w:rPr>
      </w:pPr>
      <w:r>
        <w:rPr>
          <w:rFonts w:hint="eastAsia" w:cs="仿宋_GB2312"/>
        </w:rPr>
        <w:t>根据各评价指标得分分值的总和，确定评价对象最后达到的评价等级。</w:t>
      </w:r>
    </w:p>
    <w:p>
      <w:pPr>
        <w:spacing w:line="360" w:lineRule="auto"/>
        <w:ind w:firstLine="643"/>
        <w:rPr>
          <w:b/>
        </w:rPr>
      </w:pPr>
      <w:r>
        <w:rPr>
          <w:rFonts w:hint="eastAsia"/>
          <w:b/>
        </w:rPr>
        <w:t>4</w:t>
      </w:r>
      <w:r>
        <w:rPr>
          <w:b/>
        </w:rPr>
        <w:t>.</w:t>
      </w:r>
      <w:r>
        <w:rPr>
          <w:rFonts w:hint="eastAsia"/>
          <w:b/>
        </w:rPr>
        <w:t>撰写评价报告</w:t>
      </w:r>
    </w:p>
    <w:p>
      <w:pPr>
        <w:spacing w:line="360" w:lineRule="auto"/>
        <w:rPr>
          <w:rFonts w:ascii="Times New Roman" w:hAnsi="Times New Roman"/>
        </w:rPr>
      </w:pPr>
      <w:r>
        <w:rPr>
          <w:rFonts w:hint="eastAsia" w:hAnsi="Geneva" w:cs="仿宋_GB2312"/>
          <w:kern w:val="0"/>
          <w:szCs w:val="32"/>
        </w:rPr>
        <w:t>（1）数据整理分析：</w:t>
      </w:r>
      <w:r>
        <w:rPr>
          <w:rFonts w:hint="eastAsia" w:ascii="Times New Roman" w:hAnsi="Times New Roman"/>
        </w:rPr>
        <w:t>项目评价组就项目评价实施阶段收集的资料及问卷访谈结果等进行分类整理。</w:t>
      </w:r>
    </w:p>
    <w:p>
      <w:pPr>
        <w:spacing w:line="360" w:lineRule="auto"/>
        <w:rPr>
          <w:rFonts w:hAnsi="华文仿宋" w:cs="仿宋"/>
          <w:b/>
          <w:bCs/>
          <w:szCs w:val="32"/>
        </w:rPr>
      </w:pPr>
      <w:r>
        <w:rPr>
          <w:rFonts w:hint="eastAsia" w:hAnsi="Geneva" w:cs="仿宋_GB2312"/>
          <w:kern w:val="0"/>
          <w:szCs w:val="32"/>
        </w:rPr>
        <w:t>（2）撰写报告初稿：</w:t>
      </w:r>
      <w:r>
        <w:rPr>
          <w:rFonts w:hint="eastAsia" w:cs="仿宋_GB2312"/>
          <w:szCs w:val="32"/>
        </w:rPr>
        <w:t>按照拟定的报告提纲，以数据为支撑，参考相关文件资料，挈领提纲、突出要点、提炼亮点，分点陈述存在的问题并提出针对性强的建议。在约定的时期内撰写并提交格式规范、内容完整、结论明确的绩效评价报告初稿。</w:t>
      </w:r>
    </w:p>
    <w:p>
      <w:pPr>
        <w:spacing w:line="360" w:lineRule="auto"/>
        <w:rPr>
          <w:rFonts w:hAnsi="华文仿宋" w:cs="仿宋"/>
          <w:szCs w:val="32"/>
        </w:rPr>
      </w:pPr>
      <w:r>
        <w:rPr>
          <w:rFonts w:hint="eastAsia" w:hAnsi="Geneva" w:cs="仿宋_GB2312"/>
          <w:kern w:val="0"/>
          <w:szCs w:val="32"/>
        </w:rPr>
        <w:t>（3）最终定稿：根据各方</w:t>
      </w:r>
      <w:r>
        <w:rPr>
          <w:rFonts w:hint="eastAsia" w:hAnsi="华文仿宋" w:cs="仿宋"/>
          <w:szCs w:val="32"/>
        </w:rPr>
        <w:t>修改意见，完善报告内容，并最终定稿。</w:t>
      </w:r>
    </w:p>
    <w:p>
      <w:pPr>
        <w:pStyle w:val="3"/>
        <w:keepNext w:val="0"/>
        <w:keepLines w:val="0"/>
        <w:spacing w:line="360" w:lineRule="auto"/>
        <w:ind w:firstLine="643"/>
        <w:rPr>
          <w:rFonts w:cs="黑体"/>
          <w:bCs/>
          <w:szCs w:val="32"/>
        </w:rPr>
      </w:pPr>
      <w:bookmarkStart w:id="57" w:name="_Toc28299"/>
      <w:r>
        <w:rPr>
          <w:rFonts w:hint="eastAsia" w:cs="黑体"/>
          <w:bCs/>
          <w:szCs w:val="32"/>
        </w:rPr>
        <w:t>四、评价结论及分析</w:t>
      </w:r>
      <w:bookmarkEnd w:id="57"/>
    </w:p>
    <w:p>
      <w:pPr>
        <w:pStyle w:val="4"/>
        <w:keepNext w:val="0"/>
        <w:keepLines w:val="0"/>
        <w:spacing w:line="360" w:lineRule="auto"/>
        <w:ind w:firstLine="643"/>
        <w:rPr>
          <w:rFonts w:ascii="楷体" w:hAnsi="楷体" w:eastAsia="楷体" w:cs="楷体"/>
        </w:rPr>
      </w:pPr>
      <w:bookmarkStart w:id="58" w:name="_Toc13318"/>
      <w:r>
        <w:rPr>
          <w:rFonts w:hint="eastAsia" w:ascii="楷体" w:hAnsi="楷体" w:eastAsia="楷体" w:cs="楷体"/>
        </w:rPr>
        <w:t>（一）评价评分</w:t>
      </w:r>
      <w:bookmarkEnd w:id="58"/>
    </w:p>
    <w:p>
      <w:pPr>
        <w:spacing w:line="240" w:lineRule="auto"/>
        <w:ind w:firstLine="0" w:firstLineChars="0"/>
        <w:jc w:val="center"/>
        <w:rPr>
          <w:rFonts w:asciiTheme="minorEastAsia" w:hAnsiTheme="minorEastAsia" w:eastAsiaTheme="minorEastAsia" w:cstheme="minorEastAsia"/>
          <w:b/>
          <w:bCs/>
          <w:sz w:val="28"/>
          <w:szCs w:val="28"/>
        </w:rPr>
      </w:pPr>
      <w:r>
        <w:rPr>
          <w:rFonts w:hint="eastAsia" w:ascii="宋体" w:hAnsi="宋体" w:eastAsia="宋体" w:cs="宋体"/>
          <w:b/>
          <w:bCs/>
          <w:sz w:val="28"/>
          <w:szCs w:val="28"/>
        </w:rPr>
        <w:t xml:space="preserve">表2 </w:t>
      </w:r>
      <w:r>
        <w:rPr>
          <w:rFonts w:hint="eastAsia" w:asciiTheme="minorEastAsia" w:hAnsiTheme="minorEastAsia" w:eastAsiaTheme="minorEastAsia" w:cstheme="minorEastAsia"/>
          <w:b/>
          <w:bCs/>
          <w:sz w:val="28"/>
          <w:szCs w:val="28"/>
        </w:rPr>
        <w:t xml:space="preserve"> 甘肃省委机构编制委员会办公室2020年专项业务费项目</w:t>
      </w:r>
    </w:p>
    <w:p>
      <w:pPr>
        <w:spacing w:line="240" w:lineRule="auto"/>
        <w:ind w:firstLine="0" w:firstLineChars="0"/>
        <w:jc w:val="center"/>
        <w:rPr>
          <w:rFonts w:asciiTheme="minorEastAsia" w:hAnsiTheme="minorEastAsia" w:eastAsiaTheme="minorEastAsia" w:cstheme="minorEastAsia"/>
          <w:b/>
          <w:bCs/>
          <w:sz w:val="28"/>
          <w:szCs w:val="28"/>
        </w:rPr>
      </w:pPr>
      <w:r>
        <w:rPr>
          <w:rFonts w:hint="eastAsia" w:ascii="宋体" w:hAnsi="宋体" w:eastAsia="宋体" w:cs="宋体"/>
          <w:b/>
          <w:bCs/>
          <w:sz w:val="28"/>
          <w:szCs w:val="28"/>
        </w:rPr>
        <w:t>绩效评价综合评分表</w:t>
      </w:r>
    </w:p>
    <w:tbl>
      <w:tblPr>
        <w:tblStyle w:val="16"/>
        <w:tblW w:w="499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49"/>
        <w:gridCol w:w="715"/>
        <w:gridCol w:w="1436"/>
        <w:gridCol w:w="768"/>
        <w:gridCol w:w="2902"/>
        <w:gridCol w:w="848"/>
        <w:gridCol w:w="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tblHeader/>
          <w:jc w:val="center"/>
        </w:trPr>
        <w:tc>
          <w:tcPr>
            <w:tcW w:w="849" w:type="dxa"/>
            <w:shd w:val="clear" w:color="auto" w:fill="BEBEBE"/>
            <w:tcMar>
              <w:top w:w="15" w:type="dxa"/>
              <w:left w:w="15" w:type="dxa"/>
              <w:right w:w="15" w:type="dxa"/>
            </w:tcMar>
            <w:vAlign w:val="center"/>
          </w:tcPr>
          <w:p>
            <w:pPr>
              <w:spacing w:line="300" w:lineRule="exact"/>
              <w:ind w:firstLine="0" w:firstLineChars="0"/>
              <w:jc w:val="center"/>
              <w:textAlignment w:val="center"/>
              <w:rPr>
                <w:rFonts w:ascii="宋体" w:hAnsi="宋体" w:eastAsia="宋体" w:cs="宋体"/>
                <w:b/>
                <w:kern w:val="0"/>
                <w:sz w:val="24"/>
              </w:rPr>
            </w:pPr>
            <w:r>
              <w:rPr>
                <w:rFonts w:hint="eastAsia" w:ascii="宋体" w:hAnsi="宋体" w:eastAsia="宋体" w:cs="宋体"/>
                <w:b/>
                <w:kern w:val="0"/>
                <w:sz w:val="24"/>
              </w:rPr>
              <w:t>一级</w:t>
            </w:r>
          </w:p>
          <w:p>
            <w:pPr>
              <w:spacing w:line="300" w:lineRule="exact"/>
              <w:ind w:firstLine="0" w:firstLineChars="0"/>
              <w:jc w:val="center"/>
              <w:textAlignment w:val="center"/>
              <w:rPr>
                <w:rFonts w:ascii="宋体" w:hAnsi="宋体" w:eastAsia="宋体" w:cs="宋体"/>
                <w:b/>
                <w:kern w:val="0"/>
                <w:sz w:val="24"/>
              </w:rPr>
            </w:pPr>
            <w:r>
              <w:rPr>
                <w:rFonts w:hint="eastAsia" w:ascii="宋体" w:hAnsi="宋体" w:eastAsia="宋体" w:cs="宋体"/>
                <w:b/>
                <w:kern w:val="0"/>
                <w:sz w:val="24"/>
              </w:rPr>
              <w:t>指标</w:t>
            </w:r>
          </w:p>
        </w:tc>
        <w:tc>
          <w:tcPr>
            <w:tcW w:w="715" w:type="dxa"/>
            <w:shd w:val="clear" w:color="auto" w:fill="BEBEB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b/>
                <w:sz w:val="24"/>
              </w:rPr>
            </w:pPr>
            <w:r>
              <w:rPr>
                <w:rFonts w:hint="eastAsia" w:ascii="宋体" w:hAnsi="宋体" w:eastAsia="宋体" w:cs="宋体"/>
                <w:b/>
                <w:kern w:val="0"/>
                <w:sz w:val="24"/>
              </w:rPr>
              <w:t>分值</w:t>
            </w:r>
          </w:p>
        </w:tc>
        <w:tc>
          <w:tcPr>
            <w:tcW w:w="1436" w:type="dxa"/>
            <w:shd w:val="clear" w:color="auto" w:fill="BEBEB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b/>
                <w:kern w:val="0"/>
                <w:sz w:val="24"/>
              </w:rPr>
            </w:pPr>
            <w:r>
              <w:rPr>
                <w:rFonts w:hint="eastAsia" w:ascii="宋体" w:hAnsi="宋体" w:eastAsia="宋体" w:cs="宋体"/>
                <w:b/>
                <w:kern w:val="0"/>
                <w:sz w:val="24"/>
              </w:rPr>
              <w:t>二级指标</w:t>
            </w:r>
          </w:p>
        </w:tc>
        <w:tc>
          <w:tcPr>
            <w:tcW w:w="768" w:type="dxa"/>
            <w:shd w:val="clear" w:color="auto" w:fill="BEBEB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b/>
                <w:sz w:val="24"/>
              </w:rPr>
            </w:pPr>
            <w:r>
              <w:rPr>
                <w:rFonts w:hint="eastAsia" w:ascii="宋体" w:hAnsi="宋体" w:eastAsia="宋体" w:cs="宋体"/>
                <w:b/>
                <w:kern w:val="0"/>
                <w:sz w:val="24"/>
              </w:rPr>
              <w:t>分值</w:t>
            </w:r>
          </w:p>
        </w:tc>
        <w:tc>
          <w:tcPr>
            <w:tcW w:w="2902" w:type="dxa"/>
            <w:shd w:val="clear" w:color="auto" w:fill="BEBEB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b/>
                <w:sz w:val="24"/>
              </w:rPr>
            </w:pPr>
            <w:r>
              <w:rPr>
                <w:rFonts w:hint="eastAsia" w:ascii="宋体" w:hAnsi="宋体" w:eastAsia="宋体" w:cs="宋体"/>
                <w:b/>
                <w:kern w:val="0"/>
                <w:sz w:val="24"/>
              </w:rPr>
              <w:t>三级指标</w:t>
            </w:r>
          </w:p>
        </w:tc>
        <w:tc>
          <w:tcPr>
            <w:tcW w:w="848" w:type="dxa"/>
            <w:shd w:val="clear" w:color="auto" w:fill="BEBEB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b/>
                <w:sz w:val="24"/>
              </w:rPr>
            </w:pPr>
            <w:r>
              <w:rPr>
                <w:rFonts w:hint="eastAsia" w:ascii="宋体" w:hAnsi="宋体" w:eastAsia="宋体" w:cs="宋体"/>
                <w:b/>
                <w:kern w:val="0"/>
                <w:sz w:val="24"/>
              </w:rPr>
              <w:t>分值</w:t>
            </w:r>
          </w:p>
        </w:tc>
        <w:tc>
          <w:tcPr>
            <w:tcW w:w="810" w:type="dxa"/>
            <w:shd w:val="clear" w:color="auto" w:fill="BEBEB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b/>
                <w:kern w:val="0"/>
                <w:sz w:val="24"/>
              </w:rPr>
            </w:pPr>
            <w:r>
              <w:rPr>
                <w:rFonts w:hint="eastAsia" w:ascii="宋体" w:hAnsi="宋体" w:eastAsia="宋体" w:cs="宋体"/>
                <w:b/>
                <w:kern w:val="0"/>
                <w:sz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restart"/>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决策</w:t>
            </w:r>
          </w:p>
        </w:tc>
        <w:tc>
          <w:tcPr>
            <w:tcW w:w="715" w:type="dxa"/>
            <w:vMerge w:val="restart"/>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12</w:t>
            </w:r>
          </w:p>
        </w:tc>
        <w:tc>
          <w:tcPr>
            <w:tcW w:w="1436" w:type="dxa"/>
            <w:vMerge w:val="restart"/>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项目申报</w:t>
            </w:r>
          </w:p>
        </w:tc>
        <w:tc>
          <w:tcPr>
            <w:tcW w:w="768" w:type="dxa"/>
            <w:vMerge w:val="restart"/>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申报依据充分性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kern w:val="0"/>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项目申报</w:t>
            </w:r>
          </w:p>
          <w:p>
            <w:pPr>
              <w:spacing w:line="240" w:lineRule="auto"/>
              <w:ind w:firstLine="0" w:firstLineChars="0"/>
              <w:jc w:val="center"/>
              <w:rPr>
                <w:rFonts w:ascii="宋体" w:hAnsi="宋体" w:eastAsia="宋体" w:cs="宋体"/>
                <w:kern w:val="0"/>
                <w:sz w:val="24"/>
              </w:rPr>
            </w:pPr>
          </w:p>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绩效目标</w:t>
            </w:r>
          </w:p>
        </w:tc>
        <w:tc>
          <w:tcPr>
            <w:tcW w:w="768"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kern w:val="0"/>
                <w:sz w:val="24"/>
              </w:rPr>
              <w:t>申报程序规范性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kern w:val="0"/>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sz w:val="24"/>
              </w:rPr>
            </w:pPr>
          </w:p>
        </w:tc>
        <w:tc>
          <w:tcPr>
            <w:tcW w:w="1436" w:type="dxa"/>
            <w:vMerge w:val="restart"/>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绩效目标</w:t>
            </w:r>
          </w:p>
        </w:tc>
        <w:tc>
          <w:tcPr>
            <w:tcW w:w="768" w:type="dxa"/>
            <w:vMerge w:val="restart"/>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kern w:val="0"/>
                <w:sz w:val="24"/>
              </w:rPr>
              <w:t>绩效目标合理性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sz w:val="24"/>
              </w:rPr>
            </w:pPr>
          </w:p>
        </w:tc>
        <w:tc>
          <w:tcPr>
            <w:tcW w:w="768" w:type="dxa"/>
            <w:vMerge w:val="continue"/>
            <w:tcMar>
              <w:top w:w="15" w:type="dxa"/>
              <w:left w:w="15" w:type="dxa"/>
              <w:right w:w="15" w:type="dxa"/>
            </w:tcMar>
            <w:vAlign w:val="center"/>
          </w:tcPr>
          <w:p>
            <w:pPr>
              <w:spacing w:line="240" w:lineRule="auto"/>
              <w:ind w:firstLine="0" w:firstLineChars="0"/>
              <w:jc w:val="center"/>
              <w:rPr>
                <w:rFonts w:ascii="宋体" w:hAnsi="宋体" w:eastAsia="宋体" w:cs="宋体"/>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kern w:val="0"/>
                <w:sz w:val="24"/>
              </w:rPr>
              <w:t>绩效指标明确性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15"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1436"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资金投入</w:t>
            </w:r>
          </w:p>
        </w:tc>
        <w:tc>
          <w:tcPr>
            <w:tcW w:w="768"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4</w:t>
            </w:r>
          </w:p>
        </w:tc>
        <w:tc>
          <w:tcPr>
            <w:tcW w:w="2902" w:type="dxa"/>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lang w:bidi="ar"/>
              </w:rPr>
              <w:t>预算编制科学性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15"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2902" w:type="dxa"/>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lang w:bidi="ar"/>
              </w:rPr>
              <w:t>资金分配合理性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kern w:val="0"/>
                <w:sz w:val="24"/>
              </w:rPr>
              <w:t>过程</w:t>
            </w:r>
          </w:p>
        </w:tc>
        <w:tc>
          <w:tcPr>
            <w:tcW w:w="715"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25</w:t>
            </w:r>
          </w:p>
        </w:tc>
        <w:tc>
          <w:tcPr>
            <w:tcW w:w="1436"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资金管理</w:t>
            </w:r>
          </w:p>
        </w:tc>
        <w:tc>
          <w:tcPr>
            <w:tcW w:w="768"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15</w:t>
            </w: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资金到位率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预算执行率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资金使用合规性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会计信息质量</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组织实施</w:t>
            </w:r>
          </w:p>
        </w:tc>
        <w:tc>
          <w:tcPr>
            <w:tcW w:w="768"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10</w:t>
            </w: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管理制度健全性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制度执行有效性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采购管理合规性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档案管理规范性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kern w:val="0"/>
                <w:sz w:val="24"/>
              </w:rPr>
              <w:t>产出</w:t>
            </w:r>
          </w:p>
        </w:tc>
        <w:tc>
          <w:tcPr>
            <w:tcW w:w="715"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37</w:t>
            </w:r>
          </w:p>
        </w:tc>
        <w:tc>
          <w:tcPr>
            <w:tcW w:w="1436"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产出数量</w:t>
            </w:r>
          </w:p>
        </w:tc>
        <w:tc>
          <w:tcPr>
            <w:tcW w:w="768"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17</w:t>
            </w:r>
          </w:p>
        </w:tc>
        <w:tc>
          <w:tcPr>
            <w:tcW w:w="2902" w:type="dxa"/>
            <w:tcMar>
              <w:top w:w="15" w:type="dxa"/>
              <w:left w:w="15" w:type="dxa"/>
              <w:right w:w="15" w:type="dxa"/>
            </w:tcMar>
            <w:vAlign w:val="center"/>
          </w:tcPr>
          <w:p>
            <w:pPr>
              <w:spacing w:line="380" w:lineRule="exact"/>
              <w:ind w:firstLine="0" w:firstLineChars="0"/>
              <w:jc w:val="center"/>
              <w:rPr>
                <w:rFonts w:ascii="宋体" w:hAnsi="宋体" w:eastAsia="宋体" w:cs="宋体"/>
                <w:kern w:val="0"/>
                <w:sz w:val="24"/>
              </w:rPr>
            </w:pPr>
            <w:r>
              <w:rPr>
                <w:rFonts w:hint="eastAsia" w:ascii="宋体" w:hAnsi="宋体" w:eastAsia="宋体" w:cs="宋体"/>
                <w:kern w:val="0"/>
                <w:sz w:val="24"/>
              </w:rPr>
              <w:t>系统升级改造完成率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4</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380" w:lineRule="exact"/>
              <w:ind w:firstLine="0" w:firstLineChars="0"/>
              <w:jc w:val="center"/>
              <w:rPr>
                <w:rFonts w:ascii="宋体" w:hAnsi="宋体" w:eastAsia="宋体" w:cs="宋体"/>
                <w:kern w:val="0"/>
                <w:sz w:val="24"/>
              </w:rPr>
            </w:pPr>
            <w:r>
              <w:rPr>
                <w:rFonts w:hint="eastAsia" w:ascii="宋体" w:hAnsi="宋体" w:eastAsia="宋体" w:cs="宋体"/>
                <w:kern w:val="0"/>
                <w:sz w:val="24"/>
              </w:rPr>
              <w:t>培训任务完成率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4</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380" w:lineRule="exact"/>
              <w:ind w:firstLine="0" w:firstLineChars="0"/>
              <w:jc w:val="center"/>
              <w:rPr>
                <w:rFonts w:ascii="宋体" w:hAnsi="宋体" w:eastAsia="宋体" w:cs="宋体"/>
                <w:kern w:val="0"/>
                <w:sz w:val="24"/>
              </w:rPr>
            </w:pPr>
            <w:r>
              <w:rPr>
                <w:rFonts w:hint="eastAsia" w:ascii="宋体" w:hAnsi="宋体" w:eastAsia="宋体" w:cs="宋体"/>
                <w:kern w:val="0"/>
                <w:sz w:val="24"/>
              </w:rPr>
              <w:t>考察调研任务完成率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4</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380" w:lineRule="exact"/>
              <w:ind w:firstLine="0" w:firstLineChars="0"/>
              <w:jc w:val="center"/>
              <w:rPr>
                <w:rFonts w:ascii="宋体" w:hAnsi="宋体" w:eastAsia="宋体" w:cs="宋体"/>
                <w:kern w:val="0"/>
                <w:sz w:val="24"/>
              </w:rPr>
            </w:pPr>
            <w:r>
              <w:rPr>
                <w:rFonts w:hint="eastAsia" w:ascii="宋体" w:hAnsi="宋体" w:eastAsia="宋体" w:cs="宋体"/>
                <w:kern w:val="0"/>
                <w:sz w:val="24"/>
              </w:rPr>
              <w:t>机构改革任务完成率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5</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产出质量</w:t>
            </w:r>
          </w:p>
        </w:tc>
        <w:tc>
          <w:tcPr>
            <w:tcW w:w="768"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12</w:t>
            </w:r>
          </w:p>
        </w:tc>
        <w:tc>
          <w:tcPr>
            <w:tcW w:w="2902" w:type="dxa"/>
            <w:tcMar>
              <w:top w:w="15" w:type="dxa"/>
              <w:left w:w="15" w:type="dxa"/>
              <w:right w:w="15" w:type="dxa"/>
            </w:tcMar>
            <w:vAlign w:val="center"/>
          </w:tcPr>
          <w:p>
            <w:pPr>
              <w:spacing w:line="380" w:lineRule="exact"/>
              <w:ind w:firstLine="0" w:firstLineChars="0"/>
              <w:jc w:val="center"/>
              <w:rPr>
                <w:rFonts w:ascii="宋体" w:hAnsi="宋体" w:eastAsia="宋体" w:cs="宋体"/>
                <w:kern w:val="0"/>
                <w:sz w:val="24"/>
              </w:rPr>
            </w:pPr>
            <w:r>
              <w:rPr>
                <w:rFonts w:hint="eastAsia" w:ascii="宋体" w:hAnsi="宋体" w:eastAsia="宋体" w:cs="宋体"/>
                <w:kern w:val="0"/>
                <w:sz w:val="24"/>
              </w:rPr>
              <w:t>实名制管理覆盖率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3</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380" w:lineRule="exact"/>
              <w:ind w:firstLine="0" w:firstLineChars="0"/>
              <w:jc w:val="center"/>
              <w:rPr>
                <w:rFonts w:ascii="宋体" w:hAnsi="宋体" w:eastAsia="宋体" w:cs="宋体"/>
                <w:kern w:val="0"/>
                <w:sz w:val="24"/>
              </w:rPr>
            </w:pPr>
            <w:r>
              <w:rPr>
                <w:rFonts w:hint="eastAsia" w:ascii="宋体" w:hAnsi="宋体" w:eastAsia="宋体" w:cs="宋体"/>
                <w:kern w:val="0"/>
                <w:sz w:val="24"/>
              </w:rPr>
              <w:t>信息化系统正常运行率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3</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380" w:lineRule="exact"/>
              <w:ind w:firstLine="0" w:firstLineChars="0"/>
              <w:jc w:val="center"/>
              <w:rPr>
                <w:rFonts w:ascii="宋体" w:hAnsi="宋体" w:eastAsia="宋体" w:cs="宋体"/>
                <w:kern w:val="0"/>
                <w:sz w:val="24"/>
              </w:rPr>
            </w:pPr>
            <w:r>
              <w:rPr>
                <w:rFonts w:hint="eastAsia" w:ascii="宋体" w:hAnsi="宋体" w:eastAsia="宋体" w:cs="宋体"/>
                <w:kern w:val="0"/>
                <w:sz w:val="24"/>
              </w:rPr>
              <w:t>培训覆盖率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380" w:lineRule="exact"/>
              <w:ind w:firstLine="0" w:firstLineChars="0"/>
              <w:jc w:val="center"/>
              <w:rPr>
                <w:rFonts w:ascii="宋体" w:hAnsi="宋体" w:eastAsia="宋体" w:cs="宋体"/>
                <w:kern w:val="0"/>
                <w:sz w:val="24"/>
              </w:rPr>
            </w:pPr>
            <w:r>
              <w:rPr>
                <w:rFonts w:hint="eastAsia" w:ascii="宋体" w:hAnsi="宋体" w:eastAsia="宋体" w:cs="宋体"/>
                <w:kern w:val="0"/>
                <w:sz w:val="24"/>
              </w:rPr>
              <w:t>考察调研覆盖率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380" w:lineRule="exact"/>
              <w:ind w:firstLine="0" w:firstLineChars="0"/>
              <w:jc w:val="center"/>
              <w:rPr>
                <w:rFonts w:ascii="宋体" w:hAnsi="宋体" w:eastAsia="宋体" w:cs="宋体"/>
                <w:kern w:val="0"/>
                <w:sz w:val="24"/>
              </w:rPr>
            </w:pPr>
            <w:r>
              <w:rPr>
                <w:rFonts w:hint="eastAsia" w:ascii="宋体" w:hAnsi="宋体" w:eastAsia="宋体" w:cs="宋体"/>
                <w:kern w:val="0"/>
                <w:sz w:val="24"/>
              </w:rPr>
              <w:t>维修（护）质量达标率</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产出时效</w:t>
            </w:r>
          </w:p>
        </w:tc>
        <w:tc>
          <w:tcPr>
            <w:tcW w:w="768"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6</w:t>
            </w: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系统升级维护及时性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会议培训及时性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用电保障及时性</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产出成本</w:t>
            </w:r>
          </w:p>
        </w:tc>
        <w:tc>
          <w:tcPr>
            <w:tcW w:w="768" w:type="dxa"/>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rPr>
              <w:t>2</w:t>
            </w: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预算成本控制</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2</w:t>
            </w:r>
          </w:p>
        </w:tc>
        <w:tc>
          <w:tcPr>
            <w:tcW w:w="810"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restart"/>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效益</w:t>
            </w:r>
          </w:p>
        </w:tc>
        <w:tc>
          <w:tcPr>
            <w:tcW w:w="715" w:type="dxa"/>
            <w:vMerge w:val="restart"/>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26</w:t>
            </w:r>
          </w:p>
        </w:tc>
        <w:tc>
          <w:tcPr>
            <w:tcW w:w="1436"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社会效益</w:t>
            </w:r>
          </w:p>
        </w:tc>
        <w:tc>
          <w:tcPr>
            <w:tcW w:w="768"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12</w:t>
            </w: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巩固深化机构改革成果</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优化编制资源配置</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推进重点领域改革</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强化机构编制纪律监督</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可持续影响</w:t>
            </w:r>
          </w:p>
        </w:tc>
        <w:tc>
          <w:tcPr>
            <w:tcW w:w="768" w:type="dxa"/>
            <w:vMerge w:val="restart"/>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9</w:t>
            </w: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提升机构编制管理服务</w:t>
            </w:r>
          </w:p>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水平</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建立健全部门协作机制</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768" w:type="dxa"/>
            <w:vMerge w:val="continue"/>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建立信息共享机制</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810" w:type="dxa"/>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849"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715" w:type="dxa"/>
            <w:vMerge w:val="continue"/>
            <w:tcMar>
              <w:top w:w="15" w:type="dxa"/>
              <w:left w:w="15" w:type="dxa"/>
              <w:right w:w="15" w:type="dxa"/>
            </w:tcMar>
            <w:vAlign w:val="center"/>
          </w:tcPr>
          <w:p>
            <w:pPr>
              <w:spacing w:line="240" w:lineRule="auto"/>
              <w:ind w:firstLine="480"/>
              <w:jc w:val="center"/>
              <w:rPr>
                <w:rFonts w:ascii="宋体" w:hAnsi="宋体" w:eastAsia="宋体" w:cs="宋体"/>
                <w:sz w:val="24"/>
              </w:rPr>
            </w:pPr>
          </w:p>
        </w:tc>
        <w:tc>
          <w:tcPr>
            <w:tcW w:w="1436" w:type="dxa"/>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满意度</w:t>
            </w:r>
          </w:p>
        </w:tc>
        <w:tc>
          <w:tcPr>
            <w:tcW w:w="768" w:type="dxa"/>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5</w:t>
            </w:r>
          </w:p>
        </w:tc>
        <w:tc>
          <w:tcPr>
            <w:tcW w:w="2902"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工作人员满意度</w:t>
            </w:r>
          </w:p>
        </w:tc>
        <w:tc>
          <w:tcPr>
            <w:tcW w:w="848" w:type="dxa"/>
            <w:tcMar>
              <w:top w:w="15" w:type="dxa"/>
              <w:left w:w="15" w:type="dxa"/>
              <w:right w:w="15" w:type="dxa"/>
            </w:tcMar>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5</w:t>
            </w:r>
          </w:p>
        </w:tc>
        <w:tc>
          <w:tcPr>
            <w:tcW w:w="810" w:type="dxa"/>
            <w:tcMar>
              <w:top w:w="15" w:type="dxa"/>
              <w:left w:w="15" w:type="dxa"/>
              <w:right w:w="15" w:type="dxa"/>
            </w:tcMar>
            <w:vAlign w:val="center"/>
          </w:tcPr>
          <w:p>
            <w:pPr>
              <w:widowControl/>
              <w:spacing w:line="240" w:lineRule="auto"/>
              <w:ind w:firstLine="0" w:firstLineChars="0"/>
              <w:jc w:val="center"/>
              <w:textAlignment w:val="center"/>
              <w:rPr>
                <w:rFonts w:ascii="宋体" w:hAnsi="宋体" w:eastAsia="宋体" w:cs="宋体"/>
                <w:sz w:val="24"/>
              </w:rPr>
            </w:pPr>
            <w:r>
              <w:rPr>
                <w:rFonts w:hint="eastAsia" w:ascii="宋体" w:hAnsi="宋体" w:eastAsia="宋体" w:cs="宋体"/>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6" w:hRule="exact"/>
          <w:jc w:val="center"/>
        </w:trPr>
        <w:tc>
          <w:tcPr>
            <w:tcW w:w="6670" w:type="dxa"/>
            <w:gridSpan w:val="5"/>
            <w:tcMar>
              <w:top w:w="15" w:type="dxa"/>
              <w:left w:w="15" w:type="dxa"/>
              <w:right w:w="15" w:type="dxa"/>
            </w:tcMar>
            <w:vAlign w:val="center"/>
          </w:tcPr>
          <w:p>
            <w:pPr>
              <w:spacing w:line="240" w:lineRule="auto"/>
              <w:ind w:firstLine="482"/>
              <w:jc w:val="center"/>
              <w:textAlignment w:val="center"/>
              <w:rPr>
                <w:rFonts w:ascii="宋体" w:hAnsi="宋体" w:eastAsia="宋体" w:cs="宋体"/>
                <w:b/>
                <w:bCs/>
                <w:kern w:val="0"/>
                <w:sz w:val="24"/>
              </w:rPr>
            </w:pPr>
            <w:r>
              <w:rPr>
                <w:rFonts w:hint="eastAsia" w:ascii="宋体" w:hAnsi="宋体" w:eastAsia="宋体" w:cs="宋体"/>
                <w:b/>
                <w:bCs/>
                <w:kern w:val="0"/>
                <w:sz w:val="24"/>
              </w:rPr>
              <w:t>合计</w:t>
            </w:r>
          </w:p>
        </w:tc>
        <w:tc>
          <w:tcPr>
            <w:tcW w:w="848" w:type="dxa"/>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b/>
                <w:bCs/>
                <w:kern w:val="0"/>
                <w:sz w:val="24"/>
              </w:rPr>
            </w:pPr>
            <w:r>
              <w:rPr>
                <w:rFonts w:hint="eastAsia" w:ascii="宋体" w:hAnsi="宋体" w:eastAsia="宋体" w:cs="宋体"/>
                <w:b/>
                <w:bCs/>
                <w:kern w:val="0"/>
                <w:sz w:val="24"/>
              </w:rPr>
              <w:t>100</w:t>
            </w:r>
          </w:p>
        </w:tc>
        <w:tc>
          <w:tcPr>
            <w:tcW w:w="810" w:type="dxa"/>
            <w:tcMar>
              <w:top w:w="15" w:type="dxa"/>
              <w:left w:w="15" w:type="dxa"/>
              <w:right w:w="15" w:type="dxa"/>
            </w:tcMar>
            <w:vAlign w:val="center"/>
          </w:tcPr>
          <w:p>
            <w:pPr>
              <w:spacing w:line="240" w:lineRule="auto"/>
              <w:ind w:firstLine="0" w:firstLineChars="0"/>
              <w:jc w:val="center"/>
              <w:textAlignment w:val="center"/>
              <w:rPr>
                <w:rFonts w:ascii="宋体" w:hAnsi="宋体" w:eastAsia="宋体" w:cs="宋体"/>
                <w:b/>
                <w:bCs/>
                <w:kern w:val="0"/>
                <w:sz w:val="24"/>
              </w:rPr>
            </w:pPr>
            <w:r>
              <w:rPr>
                <w:rFonts w:hint="eastAsia" w:ascii="宋体" w:hAnsi="宋体" w:eastAsia="宋体" w:cs="宋体"/>
                <w:b/>
                <w:bCs/>
                <w:kern w:val="0"/>
                <w:sz w:val="24"/>
              </w:rPr>
              <w:t>94.7</w:t>
            </w:r>
          </w:p>
        </w:tc>
      </w:tr>
    </w:tbl>
    <w:p>
      <w:pPr>
        <w:pStyle w:val="4"/>
        <w:keepNext w:val="0"/>
        <w:keepLines w:val="0"/>
        <w:spacing w:line="360" w:lineRule="auto"/>
        <w:ind w:firstLine="643"/>
        <w:rPr>
          <w:rFonts w:ascii="楷体" w:hAnsi="楷体" w:eastAsia="楷体" w:cs="楷体"/>
          <w:color w:val="FF0000"/>
        </w:rPr>
      </w:pPr>
      <w:bookmarkStart w:id="59" w:name="_Toc15763"/>
      <w:r>
        <w:rPr>
          <w:rFonts w:hint="eastAsia" w:ascii="楷体" w:hAnsi="楷体" w:eastAsia="楷体" w:cs="楷体"/>
        </w:rPr>
        <w:t>（二）综合评价情况及评价结论</w:t>
      </w:r>
      <w:bookmarkEnd w:id="59"/>
    </w:p>
    <w:p>
      <w:pPr>
        <w:spacing w:line="360" w:lineRule="auto"/>
      </w:pPr>
      <w:r>
        <w:rPr>
          <w:rFonts w:hint="eastAsia"/>
        </w:rPr>
        <w:t>本次项目绩效评价的可靠性是基于甘肃省委机构编制委员会办公室提供佐证材料的全面性和准确性。评价组全力收集更为全面、有效、准确的文件和数据，结合实地调研和问卷调查等方式尽可能做出可靠的评价结论。</w:t>
      </w:r>
    </w:p>
    <w:p>
      <w:pPr>
        <w:spacing w:line="360" w:lineRule="auto"/>
      </w:pPr>
      <w:r>
        <w:rPr>
          <w:rFonts w:hint="eastAsia"/>
        </w:rPr>
        <w:t>项目评价组基于佐证材料的全面性和准确性，严格按照绩效评价指标体系，结合实际了解到的项目情况，计算出评价得分为：</w:t>
      </w:r>
      <w:r>
        <w:rPr>
          <w:rFonts w:hint="eastAsia"/>
          <w:b/>
          <w:bCs/>
        </w:rPr>
        <w:t>94.7分</w:t>
      </w:r>
      <w:r>
        <w:rPr>
          <w:rFonts w:hint="eastAsia"/>
        </w:rPr>
        <w:t>。根据《财政部关于印发&lt;项目支出绩效评价管理办法&gt;的通知》（财预〔2020〕10号）文件，本次项目绩效评价结果等级为：</w:t>
      </w:r>
      <w:r>
        <w:rPr>
          <w:rFonts w:hint="eastAsia"/>
          <w:b/>
          <w:bCs/>
        </w:rPr>
        <w:t>优。</w:t>
      </w:r>
    </w:p>
    <w:p>
      <w:pPr>
        <w:spacing w:line="360" w:lineRule="auto"/>
        <w:rPr>
          <w:rFonts w:cs="仿宋_GB2312"/>
        </w:rPr>
      </w:pPr>
      <w:r>
        <w:rPr>
          <w:rFonts w:hint="eastAsia" w:cs="仿宋_GB2312"/>
        </w:rPr>
        <w:t>总体认为，省委</w:t>
      </w:r>
      <w:r>
        <w:rPr>
          <w:rFonts w:cs="仿宋_GB2312"/>
        </w:rPr>
        <w:t>编办</w:t>
      </w:r>
      <w:r>
        <w:rPr>
          <w:rFonts w:hint="eastAsia" w:cs="仿宋_GB2312"/>
        </w:rPr>
        <w:t>2020年专项业务费项目申报依据充分，申报程序规范，绩效目标依据充分，绩效指标清晰、可衡量，项目管理制度和财务管理制度健全且管理规范，政府采购合规，资金使用合规，不存在截留、挤占、挪用、虚列支出等情况，会计信息真实完整，项目产出和效益达到预期目标。但同时存在预算编制的科学性和精细化水平有待提高，做好机构改革“后半篇文章”有一定的差距，项目档案管理不够规范等问题。</w:t>
      </w:r>
    </w:p>
    <w:p>
      <w:pPr>
        <w:spacing w:line="360" w:lineRule="auto"/>
        <w:ind w:firstLine="643"/>
        <w:rPr>
          <w:rFonts w:cs="仿宋_GB2312"/>
          <w:kern w:val="0"/>
          <w:szCs w:val="32"/>
        </w:rPr>
      </w:pPr>
      <w:r>
        <w:rPr>
          <w:rFonts w:hint="eastAsia"/>
          <w:b/>
          <w:bCs/>
        </w:rPr>
        <w:t>1.决策方面。</w:t>
      </w:r>
      <w:r>
        <w:rPr>
          <w:rFonts w:hint="eastAsia" w:cs="仿宋_GB2312"/>
        </w:rPr>
        <w:t>省委编</w:t>
      </w:r>
      <w:r>
        <w:rPr>
          <w:rFonts w:cs="仿宋_GB2312"/>
        </w:rPr>
        <w:t>办</w:t>
      </w:r>
      <w:r>
        <w:rPr>
          <w:rFonts w:hint="eastAsia" w:cs="仿宋_GB2312"/>
        </w:rPr>
        <w:t>2020年专项业务费项目申报依据充分，所提交的申报文件、材料符合相关要求，申请、设立程序合规；项目设立了绩效目标，且目标依据充分，绩效目标设定的绩效指标清晰、可衡量，并细化为31项三级指标。但项目预算编制的科学性不高，预算资金分配无相关测算依据。</w:t>
      </w:r>
    </w:p>
    <w:p>
      <w:pPr>
        <w:spacing w:line="360" w:lineRule="auto"/>
        <w:ind w:firstLine="643"/>
        <w:rPr>
          <w:rFonts w:cs="仿宋_GB2312"/>
        </w:rPr>
      </w:pPr>
      <w:r>
        <w:rPr>
          <w:rFonts w:hint="eastAsia"/>
          <w:b/>
          <w:bCs/>
        </w:rPr>
        <w:t>2.过程方面。</w:t>
      </w:r>
      <w:r>
        <w:rPr>
          <w:rFonts w:hint="eastAsia" w:cs="仿宋_GB2312"/>
        </w:rPr>
        <w:t>省委编</w:t>
      </w:r>
      <w:r>
        <w:rPr>
          <w:rFonts w:cs="仿宋_GB2312"/>
        </w:rPr>
        <w:t>办</w:t>
      </w:r>
      <w:r>
        <w:rPr>
          <w:rFonts w:hint="eastAsia" w:cs="仿宋_GB2312"/>
        </w:rPr>
        <w:t>2020年专项业务费项目资金使用合规，执行率100%，不存在截留、挤占、挪用、虚列支出等情况，会计信息真实完整、凭证齐全；项目管理制度和财务管理制度健全且管理规范，政府采购合规。但部分项目资料未做归档整理，档案资料不完整，管理欠规范。</w:t>
      </w:r>
    </w:p>
    <w:p>
      <w:pPr>
        <w:spacing w:line="360" w:lineRule="auto"/>
        <w:ind w:firstLine="643"/>
        <w:rPr>
          <w:rFonts w:cs="仿宋_GB2312"/>
        </w:rPr>
      </w:pPr>
      <w:r>
        <w:rPr>
          <w:rFonts w:hint="eastAsia"/>
          <w:b/>
          <w:bCs/>
        </w:rPr>
        <w:t>3.产出方面。</w:t>
      </w:r>
      <w:r>
        <w:rPr>
          <w:rFonts w:hint="eastAsia" w:cs="仿宋_GB2312"/>
        </w:rPr>
        <w:t>省委编</w:t>
      </w:r>
      <w:r>
        <w:rPr>
          <w:rFonts w:cs="仿宋_GB2312"/>
        </w:rPr>
        <w:t>办</w:t>
      </w:r>
      <w:r>
        <w:rPr>
          <w:rFonts w:hint="eastAsia" w:cs="仿宋_GB2312"/>
        </w:rPr>
        <w:t>2020年专项业务费项目产出数量指标均达到预期目标，产出质量基本达到预期目标和业绩水平，系统升级维护、会议培训、用电保障等及时进行，项目预算成本执行结果未超支，在预算成本控制范围内。</w:t>
      </w:r>
    </w:p>
    <w:p>
      <w:pPr>
        <w:spacing w:line="360" w:lineRule="auto"/>
        <w:ind w:firstLine="643"/>
        <w:rPr>
          <w:rFonts w:ascii="宋体" w:hAnsi="宋体" w:eastAsia="宋体" w:cs="宋体"/>
          <w:b/>
          <w:bCs/>
          <w:sz w:val="28"/>
          <w:szCs w:val="28"/>
        </w:rPr>
      </w:pPr>
      <w:r>
        <w:rPr>
          <w:rFonts w:hint="eastAsia"/>
          <w:b/>
          <w:bCs/>
        </w:rPr>
        <w:t>4.效益方面。</w:t>
      </w:r>
      <w:r>
        <w:rPr>
          <w:rFonts w:hint="eastAsia" w:cs="仿宋_GB2312"/>
        </w:rPr>
        <w:t>省委编</w:t>
      </w:r>
      <w:r>
        <w:rPr>
          <w:rFonts w:cs="仿宋_GB2312"/>
        </w:rPr>
        <w:t>办</w:t>
      </w:r>
      <w:r>
        <w:rPr>
          <w:rFonts w:hint="eastAsia" w:cs="仿宋_GB2312"/>
        </w:rPr>
        <w:t>2020年专项业务费项目的实施在巩固深化机构改革成果、优化编制资源配置、推进重点领域改革、提升机构编制法治意识等方面发挥了良好的社会效益</w:t>
      </w:r>
      <w:r>
        <w:rPr>
          <w:rFonts w:hint="eastAsia" w:cs="仿宋_GB2312"/>
          <w:szCs w:val="32"/>
        </w:rPr>
        <w:t>。</w:t>
      </w:r>
    </w:p>
    <w:p>
      <w:pPr>
        <w:pStyle w:val="3"/>
        <w:keepNext w:val="0"/>
        <w:keepLines w:val="0"/>
        <w:spacing w:line="360" w:lineRule="auto"/>
        <w:ind w:firstLine="643"/>
        <w:rPr>
          <w:rFonts w:cs="黑体"/>
          <w:bCs/>
          <w:szCs w:val="32"/>
        </w:rPr>
      </w:pPr>
      <w:bookmarkStart w:id="60" w:name="_Toc22235"/>
      <w:bookmarkStart w:id="61" w:name="_Toc3181"/>
      <w:r>
        <w:rPr>
          <w:rFonts w:hint="eastAsia" w:cs="黑体"/>
          <w:bCs/>
          <w:szCs w:val="32"/>
        </w:rPr>
        <w:t>五、绩效评价指标分析</w:t>
      </w:r>
      <w:bookmarkEnd w:id="60"/>
    </w:p>
    <w:p>
      <w:pPr>
        <w:spacing w:line="360" w:lineRule="auto"/>
        <w:rPr>
          <w:rFonts w:cs="仿宋_GB2312"/>
        </w:rPr>
      </w:pPr>
      <w:r>
        <w:rPr>
          <w:rFonts w:hint="eastAsia" w:cs="仿宋_GB2312"/>
        </w:rPr>
        <w:t>依据制定的绩效评价指标体系，本次绩效评价分别从决策、过程、产出、效益四个方面对省委编</w:t>
      </w:r>
      <w:r>
        <w:rPr>
          <w:rFonts w:cs="仿宋_GB2312"/>
        </w:rPr>
        <w:t>办</w:t>
      </w:r>
      <w:r>
        <w:rPr>
          <w:rFonts w:hint="eastAsia" w:cs="仿宋_GB2312"/>
        </w:rPr>
        <w:t>2020年专项业务费项目绩效管理情况进行分析评价。</w:t>
      </w:r>
    </w:p>
    <w:p>
      <w:pPr>
        <w:spacing w:line="360" w:lineRule="auto"/>
        <w:rPr>
          <w:rFonts w:cs="仿宋_GB2312"/>
        </w:rPr>
      </w:pPr>
      <w:r>
        <w:rPr>
          <w:rFonts w:hint="eastAsia" w:cs="仿宋_GB2312"/>
        </w:rPr>
        <w:t>省委编</w:t>
      </w:r>
      <w:r>
        <w:rPr>
          <w:rFonts w:cs="仿宋_GB2312"/>
        </w:rPr>
        <w:t>办</w:t>
      </w:r>
      <w:r>
        <w:rPr>
          <w:rFonts w:hint="eastAsia" w:cs="仿宋_GB2312"/>
        </w:rPr>
        <w:t>2020年专项业务费项目绩效评价总体得分情况如下图所示：</w:t>
      </w:r>
    </w:p>
    <w:p>
      <w:pPr>
        <w:spacing w:line="360" w:lineRule="auto"/>
        <w:ind w:firstLine="0" w:firstLineChars="0"/>
        <w:jc w:val="center"/>
        <w:rPr>
          <w:rFonts w:ascii="楷体" w:hAnsi="楷体" w:eastAsia="楷体" w:cs="楷体"/>
          <w:b/>
          <w:color w:val="000000" w:themeColor="text1"/>
          <w14:textFill>
            <w14:solidFill>
              <w14:schemeClr w14:val="tx1"/>
            </w14:solidFill>
          </w14:textFill>
        </w:rPr>
      </w:pPr>
      <w:r>
        <w:drawing>
          <wp:inline distT="0" distB="0" distL="114300" distR="114300">
            <wp:extent cx="4723765" cy="2806065"/>
            <wp:effectExtent l="0" t="0" r="0" b="0"/>
            <wp:docPr id="1198"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ind w:firstLine="482"/>
        <w:rPr>
          <w:rFonts w:ascii="宋体" w:hAnsi="宋体" w:eastAsia="宋体" w:cs="宋体"/>
          <w:b/>
          <w:color w:val="000000" w:themeColor="text1"/>
          <w:sz w:val="24"/>
          <w14:textFill>
            <w14:solidFill>
              <w14:schemeClr w14:val="tx1"/>
            </w14:solidFill>
          </w14:textFill>
        </w:rPr>
      </w:pPr>
      <w:bookmarkStart w:id="62" w:name="_Toc23910"/>
      <w:r>
        <w:rPr>
          <w:rFonts w:hint="eastAsia" w:ascii="宋体" w:hAnsi="宋体" w:eastAsia="宋体" w:cs="宋体"/>
          <w:b/>
          <w:color w:val="000000" w:themeColor="text1"/>
          <w:sz w:val="24"/>
          <w14:textFill>
            <w14:solidFill>
              <w14:schemeClr w14:val="tx1"/>
            </w14:solidFill>
          </w14:textFill>
        </w:rPr>
        <w:t>图1 甘肃省委机构编制委员会办公室2020年专项业务费项目</w:t>
      </w:r>
    </w:p>
    <w:p>
      <w:pPr>
        <w:pStyle w:val="4"/>
        <w:keepNext w:val="0"/>
        <w:keepLines w:val="0"/>
        <w:spacing w:line="240" w:lineRule="auto"/>
        <w:ind w:firstLine="0" w:firstLineChars="0"/>
        <w:jc w:val="center"/>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绩效评价总体得分情况</w:t>
      </w:r>
    </w:p>
    <w:p>
      <w:pPr>
        <w:pStyle w:val="4"/>
        <w:keepNext w:val="0"/>
        <w:keepLines w:val="0"/>
        <w:spacing w:line="360" w:lineRule="auto"/>
        <w:ind w:firstLine="643"/>
        <w:rPr>
          <w:rFonts w:ascii="楷体" w:hAnsi="楷体" w:eastAsia="楷体" w:cs="楷体"/>
        </w:rPr>
      </w:pPr>
      <w:r>
        <w:fldChar w:fldCharType="begin"/>
      </w:r>
      <w:r>
        <w:instrText xml:space="preserve"> HYPERLINK \l "_Toc24702" </w:instrText>
      </w:r>
      <w:r>
        <w:fldChar w:fldCharType="separate"/>
      </w:r>
      <w:r>
        <w:rPr>
          <w:rFonts w:hint="eastAsia" w:ascii="楷体" w:hAnsi="楷体" w:eastAsia="楷体" w:cs="楷体"/>
        </w:rPr>
        <w:t>（一）</w:t>
      </w:r>
      <w:r>
        <w:rPr>
          <w:rFonts w:hint="eastAsia" w:ascii="楷体" w:hAnsi="楷体" w:eastAsia="楷体" w:cs="楷体"/>
        </w:rPr>
        <w:fldChar w:fldCharType="end"/>
      </w:r>
      <w:bookmarkEnd w:id="61"/>
      <w:r>
        <w:rPr>
          <w:rFonts w:hint="eastAsia" w:ascii="楷体" w:hAnsi="楷体" w:eastAsia="楷体" w:cs="楷体"/>
        </w:rPr>
        <w:t>项目</w:t>
      </w:r>
      <w:r>
        <w:fldChar w:fldCharType="begin"/>
      </w:r>
      <w:r>
        <w:instrText xml:space="preserve"> HYPERLINK \l "_Toc19358" </w:instrText>
      </w:r>
      <w:r>
        <w:fldChar w:fldCharType="separate"/>
      </w:r>
      <w:r>
        <w:rPr>
          <w:rFonts w:hint="eastAsia" w:ascii="楷体" w:hAnsi="楷体" w:eastAsia="楷体" w:cs="楷体"/>
        </w:rPr>
        <w:t>决策</w:t>
      </w:r>
      <w:r>
        <w:rPr>
          <w:rFonts w:hint="eastAsia" w:ascii="楷体" w:hAnsi="楷体" w:eastAsia="楷体" w:cs="楷体"/>
        </w:rPr>
        <w:fldChar w:fldCharType="end"/>
      </w:r>
      <w:r>
        <w:rPr>
          <w:rFonts w:hint="eastAsia" w:ascii="楷体" w:hAnsi="楷体" w:eastAsia="楷体" w:cs="楷体"/>
        </w:rPr>
        <w:t>情况</w:t>
      </w:r>
      <w:bookmarkEnd w:id="62"/>
    </w:p>
    <w:p>
      <w:pPr>
        <w:spacing w:line="360" w:lineRule="auto"/>
        <w:rPr>
          <w:rFonts w:cs="仿宋_GB2312"/>
        </w:rPr>
      </w:pPr>
      <w:r>
        <w:rPr>
          <w:rFonts w:hint="eastAsia" w:cs="仿宋_GB2312"/>
        </w:rPr>
        <w:t>省委编</w:t>
      </w:r>
      <w:r>
        <w:rPr>
          <w:rFonts w:cs="仿宋_GB2312"/>
        </w:rPr>
        <w:t>办</w:t>
      </w:r>
      <w:r>
        <w:rPr>
          <w:rFonts w:hint="eastAsia" w:cs="仿宋_GB2312"/>
        </w:rPr>
        <w:t>2020年专项业务费项目绩效评价决策类指标分别从项目申报、绩效目标和资金投入三个方面进行综合分析。各项指标具体得分情况如下表所示：</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7"/>
        <w:gridCol w:w="2199"/>
        <w:gridCol w:w="3245"/>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4"/>
            <w:tcBorders>
              <w:top w:val="nil"/>
              <w:left w:val="nil"/>
              <w:bottom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bCs/>
                <w:sz w:val="28"/>
                <w:szCs w:val="28"/>
              </w:rPr>
              <w:t>表3  决策类各项指标绩效评价</w:t>
            </w:r>
            <w:r>
              <w:rPr>
                <w:rFonts w:hint="eastAsia" w:ascii="宋体" w:hAnsi="宋体" w:eastAsia="宋体" w:cs="宋体"/>
                <w:b/>
                <w:sz w:val="28"/>
                <w:szCs w:val="28"/>
              </w:rPr>
              <w:t>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0" w:type="pct"/>
            <w:tcBorders>
              <w:top w:val="double" w:color="000000" w:sz="4" w:space="0"/>
              <w:lef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一级指标</w:t>
            </w:r>
          </w:p>
        </w:tc>
        <w:tc>
          <w:tcPr>
            <w:tcW w:w="1290" w:type="pct"/>
            <w:tcBorders>
              <w:top w:val="double" w:color="000000" w:sz="4" w:space="0"/>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二级指标</w:t>
            </w:r>
          </w:p>
        </w:tc>
        <w:tc>
          <w:tcPr>
            <w:tcW w:w="1902" w:type="pct"/>
            <w:tcBorders>
              <w:top w:val="double" w:color="000000" w:sz="4" w:space="0"/>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三级指标</w:t>
            </w:r>
          </w:p>
        </w:tc>
        <w:tc>
          <w:tcPr>
            <w:tcW w:w="647" w:type="pct"/>
            <w:tcBorders>
              <w:top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0" w:type="pct"/>
            <w:vMerge w:val="restart"/>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决策</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得分率：75%</w:t>
            </w:r>
          </w:p>
        </w:tc>
        <w:tc>
          <w:tcPr>
            <w:tcW w:w="1290" w:type="pct"/>
            <w:vMerge w:val="restart"/>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项目申报</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得分率：100%</w:t>
            </w:r>
          </w:p>
        </w:tc>
        <w:tc>
          <w:tcPr>
            <w:tcW w:w="1902" w:type="pct"/>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sz w:val="24"/>
              </w:rPr>
              <w:t>申报依据充分性</w:t>
            </w:r>
          </w:p>
        </w:tc>
        <w:tc>
          <w:tcPr>
            <w:tcW w:w="647" w:type="pct"/>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0"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Cs/>
                <w:sz w:val="24"/>
                <w:szCs w:val="22"/>
              </w:rPr>
            </w:pPr>
          </w:p>
        </w:tc>
        <w:tc>
          <w:tcPr>
            <w:tcW w:w="1290" w:type="pct"/>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1902" w:type="pct"/>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申报程序规范性</w:t>
            </w:r>
          </w:p>
        </w:tc>
        <w:tc>
          <w:tcPr>
            <w:tcW w:w="647" w:type="pct"/>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0"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90" w:type="pct"/>
            <w:vMerge w:val="restart"/>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绩效目标</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得分率：100%</w:t>
            </w:r>
          </w:p>
        </w:tc>
        <w:tc>
          <w:tcPr>
            <w:tcW w:w="1902" w:type="pct"/>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绩效目标合理性</w:t>
            </w:r>
          </w:p>
        </w:tc>
        <w:tc>
          <w:tcPr>
            <w:tcW w:w="647" w:type="pct"/>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160"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90" w:type="pct"/>
            <w:vMerge w:val="continue"/>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902" w:type="pct"/>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绩效指标明确性</w:t>
            </w:r>
          </w:p>
        </w:tc>
        <w:tc>
          <w:tcPr>
            <w:tcW w:w="647" w:type="pct"/>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90" w:type="pct"/>
            <w:vMerge w:val="restart"/>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资金投入</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得分率：25%</w:t>
            </w:r>
          </w:p>
        </w:tc>
        <w:tc>
          <w:tcPr>
            <w:tcW w:w="1903" w:type="pct"/>
            <w:shd w:val="clear" w:color="auto" w:fill="auto"/>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lang w:bidi="ar"/>
              </w:rPr>
              <w:t>预算编制科学性</w:t>
            </w:r>
          </w:p>
        </w:tc>
        <w:tc>
          <w:tcPr>
            <w:tcW w:w="645" w:type="pct"/>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60"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90" w:type="pct"/>
            <w:vMerge w:val="continue"/>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903" w:type="pct"/>
            <w:shd w:val="clear" w:color="auto" w:fill="auto"/>
            <w:vAlign w:val="center"/>
          </w:tcPr>
          <w:p>
            <w:pPr>
              <w:spacing w:line="240" w:lineRule="auto"/>
              <w:ind w:firstLine="0" w:firstLineChars="0"/>
              <w:jc w:val="center"/>
              <w:textAlignment w:val="center"/>
              <w:rPr>
                <w:rFonts w:ascii="宋体" w:hAnsi="宋体" w:eastAsia="宋体" w:cs="宋体"/>
                <w:kern w:val="0"/>
                <w:sz w:val="24"/>
              </w:rPr>
            </w:pPr>
            <w:r>
              <w:rPr>
                <w:rFonts w:hint="eastAsia" w:ascii="宋体" w:hAnsi="宋体" w:eastAsia="宋体" w:cs="宋体"/>
                <w:kern w:val="0"/>
                <w:sz w:val="24"/>
                <w:lang w:bidi="ar"/>
              </w:rPr>
              <w:t>资金分配合理性</w:t>
            </w:r>
          </w:p>
        </w:tc>
        <w:tc>
          <w:tcPr>
            <w:tcW w:w="645" w:type="pct"/>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354" w:type="pct"/>
            <w:gridSpan w:val="3"/>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“决策”情况评级</w:t>
            </w:r>
          </w:p>
        </w:tc>
        <w:tc>
          <w:tcPr>
            <w:tcW w:w="645" w:type="pct"/>
            <w:tcBorders>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jc w:val="center"/>
        </w:trPr>
        <w:tc>
          <w:tcPr>
            <w:tcW w:w="5000" w:type="pct"/>
            <w:gridSpan w:val="4"/>
            <w:tcBorders>
              <w:left w:val="nil"/>
              <w:bottom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drawing>
                <wp:inline distT="0" distB="0" distL="114300" distR="114300">
                  <wp:extent cx="4572000" cy="3114675"/>
                  <wp:effectExtent l="0" t="0" r="0" b="0"/>
                  <wp:docPr id="1229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bl>
    <w:p>
      <w:pPr>
        <w:spacing w:line="360" w:lineRule="auto"/>
        <w:ind w:firstLine="643"/>
        <w:rPr>
          <w:b/>
          <w:bCs/>
        </w:rPr>
      </w:pPr>
      <w:r>
        <w:rPr>
          <w:rFonts w:hint="eastAsia"/>
          <w:b/>
          <w:bCs/>
        </w:rPr>
        <w:t>1.项目申报（4分）</w:t>
      </w:r>
    </w:p>
    <w:p>
      <w:pPr>
        <w:spacing w:line="360" w:lineRule="auto"/>
        <w:rPr>
          <w:rFonts w:cs="仿宋_GB2312"/>
          <w:szCs w:val="32"/>
        </w:rPr>
      </w:pPr>
      <w:r>
        <w:rPr>
          <w:rFonts w:hint="eastAsia" w:cs="仿宋_GB2312"/>
          <w:szCs w:val="32"/>
        </w:rPr>
        <w:t>项目申报指标分值4分，得分为4分。</w:t>
      </w:r>
      <w:r>
        <w:rPr>
          <w:rFonts w:hint="eastAsia" w:cs="仿宋_GB2312"/>
        </w:rPr>
        <w:t>省委编</w:t>
      </w:r>
      <w:r>
        <w:rPr>
          <w:rFonts w:cs="仿宋_GB2312"/>
        </w:rPr>
        <w:t>办</w:t>
      </w:r>
      <w:r>
        <w:rPr>
          <w:rFonts w:hint="eastAsia" w:cs="仿宋_GB2312"/>
          <w:szCs w:val="32"/>
        </w:rPr>
        <w:t>2020年业务专项费项目申报依据充分，所提交的申报文件、材料符合相关要求，申请、设立程序合规。</w:t>
      </w:r>
    </w:p>
    <w:p>
      <w:pPr>
        <w:numPr>
          <w:ilvl w:val="0"/>
          <w:numId w:val="1"/>
        </w:numPr>
        <w:spacing w:line="360" w:lineRule="auto"/>
        <w:ind w:firstLine="643"/>
        <w:rPr>
          <w:rFonts w:cs="仿宋_GB2312"/>
          <w:b/>
          <w:szCs w:val="32"/>
        </w:rPr>
      </w:pPr>
      <w:r>
        <w:rPr>
          <w:rFonts w:hint="eastAsia" w:cs="仿宋_GB2312"/>
          <w:b/>
          <w:szCs w:val="32"/>
        </w:rPr>
        <w:t>申报依据充分性（2分）</w:t>
      </w:r>
    </w:p>
    <w:p>
      <w:pPr>
        <w:spacing w:line="360" w:lineRule="auto"/>
        <w:rPr>
          <w:rFonts w:cs="仿宋_GB2312"/>
          <w:szCs w:val="32"/>
        </w:rPr>
      </w:pPr>
      <w:r>
        <w:rPr>
          <w:rFonts w:hint="eastAsia" w:cs="仿宋_GB2312"/>
          <w:szCs w:val="32"/>
        </w:rPr>
        <w:t>申报依据充分性指标分值2分，得分为2分。根据《中国共产党机构编制工作条例》、2020年全国编办主任会议精神及《中共甘肃省委机构编制委员会办公室2020年工作要点》等文件、会议要求，</w:t>
      </w:r>
      <w:r>
        <w:rPr>
          <w:rFonts w:hint="eastAsia" w:cs="仿宋_GB2312"/>
        </w:rPr>
        <w:t>省委编</w:t>
      </w:r>
      <w:r>
        <w:rPr>
          <w:rFonts w:cs="仿宋_GB2312"/>
        </w:rPr>
        <w:t>办</w:t>
      </w:r>
      <w:r>
        <w:rPr>
          <w:rFonts w:hint="eastAsia" w:cs="仿宋_GB2312"/>
          <w:szCs w:val="32"/>
        </w:rPr>
        <w:t>2020年业务专项费项目符合国家法律法规、国民经济和社会发展规划，项目与本部门（单位）职能、发展规划和工作计划密切相关。</w:t>
      </w:r>
    </w:p>
    <w:p>
      <w:pPr>
        <w:pBdr>
          <w:top w:val="none" w:color="auto" w:sz="0" w:space="1"/>
          <w:left w:val="none" w:color="auto" w:sz="0" w:space="4"/>
          <w:bottom w:val="none" w:color="auto" w:sz="0" w:space="1"/>
          <w:right w:val="none" w:color="auto" w:sz="0" w:space="4"/>
        </w:pBdr>
        <w:spacing w:line="360" w:lineRule="auto"/>
        <w:rPr>
          <w:rFonts w:cs="仿宋_GB2312"/>
        </w:rPr>
      </w:pPr>
      <w:r>
        <w:rPr>
          <w:rFonts w:hint="eastAsia" w:cs="仿宋_GB2312"/>
          <w:szCs w:val="32"/>
        </w:rPr>
        <w:t>根据指标体系评分标准，项目</w:t>
      </w:r>
      <w:r>
        <w:rPr>
          <w:rFonts w:hint="eastAsia" w:cs="仿宋_GB2312"/>
        </w:rPr>
        <w:t>立项符合国家法律法规、国民经济发展规划和相关政策；符合行业发展规划和政策要求；与部门职责范围相符，属于部门履职所需；属于公共财政支持范围，符合中央、地方事权支出责任划分原则。指标得分2分。</w:t>
      </w:r>
    </w:p>
    <w:p>
      <w:pPr>
        <w:numPr>
          <w:ilvl w:val="0"/>
          <w:numId w:val="1"/>
        </w:numPr>
        <w:spacing w:line="360" w:lineRule="auto"/>
        <w:ind w:firstLine="643"/>
        <w:rPr>
          <w:rFonts w:cs="仿宋_GB2312"/>
          <w:b/>
          <w:szCs w:val="32"/>
        </w:rPr>
      </w:pPr>
      <w:r>
        <w:rPr>
          <w:rFonts w:hint="eastAsia" w:cs="仿宋_GB2312"/>
          <w:b/>
          <w:szCs w:val="32"/>
        </w:rPr>
        <w:t>申报程序规范性（2分）</w:t>
      </w:r>
    </w:p>
    <w:p>
      <w:pPr>
        <w:spacing w:line="360" w:lineRule="auto"/>
        <w:rPr>
          <w:bCs/>
          <w:szCs w:val="32"/>
        </w:rPr>
      </w:pPr>
      <w:r>
        <w:rPr>
          <w:rFonts w:hint="eastAsia" w:cs="仿宋_GB2312"/>
          <w:szCs w:val="32"/>
        </w:rPr>
        <w:t>申报程序规范性指标分值2分，得分为2分。根据2020年全国编办主任会议精神、《中共甘肃省委机构编制委员会办公室2020年工作要点》等文件、会议要求，</w:t>
      </w:r>
      <w:r>
        <w:rPr>
          <w:rFonts w:hint="eastAsia" w:cs="仿宋_GB2312"/>
        </w:rPr>
        <w:t>省委编</w:t>
      </w:r>
      <w:r>
        <w:rPr>
          <w:rFonts w:cs="仿宋_GB2312"/>
        </w:rPr>
        <w:t>办</w:t>
      </w:r>
      <w:r>
        <w:rPr>
          <w:rFonts w:hint="eastAsia" w:cs="仿宋_GB2312"/>
          <w:szCs w:val="32"/>
        </w:rPr>
        <w:t>2020年专项业务费项目属于延续性项目，主要用于机构改革及机构编制实名制管理，按照规定的程序申请预算，且所提交的文件、材料符合相关政策要求</w:t>
      </w:r>
      <w:r>
        <w:rPr>
          <w:rFonts w:hint="eastAsia"/>
          <w:bCs/>
          <w:szCs w:val="32"/>
        </w:rPr>
        <w:t>。</w:t>
      </w:r>
    </w:p>
    <w:p>
      <w:pPr>
        <w:spacing w:line="360" w:lineRule="auto"/>
        <w:rPr>
          <w:bCs/>
          <w:szCs w:val="32"/>
        </w:rPr>
      </w:pPr>
      <w:r>
        <w:rPr>
          <w:rFonts w:hint="eastAsia"/>
          <w:bCs/>
          <w:szCs w:val="32"/>
        </w:rPr>
        <w:t>根据指标体系评分标准，项目按照规定的程序申请设立；审批文件、材料符合相关要求；事前经过必要的集体决策，专家论证。指标得分2分。</w:t>
      </w:r>
    </w:p>
    <w:p>
      <w:pPr>
        <w:spacing w:line="360" w:lineRule="auto"/>
        <w:ind w:firstLine="643"/>
        <w:rPr>
          <w:b/>
          <w:bCs/>
        </w:rPr>
      </w:pPr>
      <w:r>
        <w:rPr>
          <w:rFonts w:hint="eastAsia"/>
          <w:b/>
          <w:bCs/>
        </w:rPr>
        <w:t>2.绩效目标（4分）</w:t>
      </w:r>
    </w:p>
    <w:p>
      <w:pPr>
        <w:spacing w:line="360" w:lineRule="auto"/>
      </w:pPr>
      <w:r>
        <w:rPr>
          <w:rFonts w:hint="eastAsia" w:cs="仿宋_GB2312"/>
          <w:szCs w:val="32"/>
        </w:rPr>
        <w:t>绩效目标指标分值4分，得分为4分。</w:t>
      </w:r>
      <w:r>
        <w:rPr>
          <w:rFonts w:hint="eastAsia" w:cs="仿宋_GB2312"/>
        </w:rPr>
        <w:t>省委编</w:t>
      </w:r>
      <w:r>
        <w:rPr>
          <w:rFonts w:cs="仿宋_GB2312"/>
        </w:rPr>
        <w:t>办</w:t>
      </w:r>
      <w:r>
        <w:rPr>
          <w:rFonts w:hint="eastAsia" w:cs="仿宋_GB2312"/>
        </w:rPr>
        <w:t>2020年专项业务费项目设立了绩效目标，且目标依据充分，</w:t>
      </w:r>
      <w:r>
        <w:rPr>
          <w:rFonts w:hint="eastAsia" w:cs="仿宋_GB2312"/>
          <w:szCs w:val="32"/>
        </w:rPr>
        <w:t>绩效目标设定的绩效指标清晰、可衡量，并细化为31项三级指标</w:t>
      </w:r>
      <w:r>
        <w:rPr>
          <w:rFonts w:hint="eastAsia" w:cs="仿宋_GB2312"/>
        </w:rPr>
        <w:t>。</w:t>
      </w:r>
    </w:p>
    <w:p>
      <w:pPr>
        <w:spacing w:line="360" w:lineRule="auto"/>
        <w:ind w:firstLine="643"/>
        <w:rPr>
          <w:rFonts w:cs="仿宋_GB2312"/>
          <w:b/>
          <w:szCs w:val="32"/>
        </w:rPr>
      </w:pPr>
      <w:r>
        <w:rPr>
          <w:rFonts w:hint="eastAsia" w:cs="仿宋_GB2312"/>
          <w:b/>
          <w:szCs w:val="32"/>
        </w:rPr>
        <w:t>（1）绩效目标合理性（2分）</w:t>
      </w:r>
    </w:p>
    <w:p>
      <w:pPr>
        <w:spacing w:line="360" w:lineRule="auto"/>
        <w:rPr>
          <w:rFonts w:cs="仿宋_GB2312"/>
          <w:szCs w:val="32"/>
        </w:rPr>
      </w:pPr>
      <w:r>
        <w:rPr>
          <w:rFonts w:hint="eastAsia" w:cs="仿宋_GB2312"/>
        </w:rPr>
        <w:t>绩效目标合理性指标分值2分，得分为2分。省委编</w:t>
      </w:r>
      <w:r>
        <w:rPr>
          <w:rFonts w:cs="仿宋_GB2312"/>
        </w:rPr>
        <w:t>办</w:t>
      </w:r>
      <w:r>
        <w:rPr>
          <w:rFonts w:hint="eastAsia" w:cs="仿宋_GB2312"/>
          <w:szCs w:val="32"/>
        </w:rPr>
        <w:t>2020年专项业务费项目根据项目预算及项目实施内容编制了项目绩效目标表，明确了项目总目标和年度任务目标，任务目标与项目内容紧密结合、符合客观实际，预期产出效益和效果符合正常的业绩水平，具备合理性。</w:t>
      </w:r>
    </w:p>
    <w:p>
      <w:pPr>
        <w:spacing w:line="360" w:lineRule="auto"/>
        <w:rPr>
          <w:rFonts w:cs="仿宋_GB2312"/>
          <w:kern w:val="0"/>
          <w:szCs w:val="32"/>
        </w:rPr>
      </w:pPr>
      <w:r>
        <w:rPr>
          <w:rFonts w:hint="eastAsia" w:cs="仿宋_GB2312"/>
          <w:kern w:val="0"/>
          <w:szCs w:val="32"/>
        </w:rPr>
        <w:t>根据指标体系评分标准，项目编制了绩效目标表，项目与实施单位职责密切相关，预期产出效益和效果符合正常的业绩水平。指标得分为2分。</w:t>
      </w:r>
    </w:p>
    <w:p>
      <w:pPr>
        <w:pStyle w:val="14"/>
        <w:spacing w:line="360" w:lineRule="auto"/>
        <w:ind w:left="640" w:leftChars="200" w:firstLine="0" w:firstLineChars="0"/>
        <w:jc w:val="both"/>
        <w:rPr>
          <w:rFonts w:cs="仿宋_GB2312"/>
          <w:b/>
          <w:sz w:val="32"/>
          <w:szCs w:val="32"/>
        </w:rPr>
      </w:pPr>
      <w:r>
        <w:rPr>
          <w:rFonts w:hint="eastAsia" w:cs="仿宋_GB2312"/>
          <w:b/>
          <w:sz w:val="32"/>
          <w:szCs w:val="32"/>
        </w:rPr>
        <w:t>（2）绩效指标明确性（2分）</w:t>
      </w:r>
    </w:p>
    <w:p>
      <w:pPr>
        <w:pStyle w:val="14"/>
        <w:spacing w:line="360" w:lineRule="auto"/>
        <w:jc w:val="both"/>
        <w:rPr>
          <w:rFonts w:cs="仿宋_GB2312"/>
          <w:sz w:val="32"/>
          <w:szCs w:val="32"/>
        </w:rPr>
      </w:pPr>
      <w:r>
        <w:rPr>
          <w:rFonts w:hint="eastAsia" w:cs="仿宋_GB2312"/>
          <w:sz w:val="32"/>
          <w:szCs w:val="32"/>
        </w:rPr>
        <w:t>绩效指标明确性指标分值2分，得分为2分。省委编</w:t>
      </w:r>
      <w:r>
        <w:rPr>
          <w:rFonts w:cs="仿宋_GB2312"/>
          <w:sz w:val="32"/>
          <w:szCs w:val="32"/>
        </w:rPr>
        <w:t>办</w:t>
      </w:r>
      <w:r>
        <w:rPr>
          <w:rFonts w:hint="eastAsia" w:cs="仿宋_GB2312"/>
          <w:sz w:val="32"/>
          <w:szCs w:val="32"/>
        </w:rPr>
        <w:t>2020年专项业务费项目绩效目标能够清晰反映项目实施所达到的预期效果，并按照定量和定性相结合的要求设置绩效指标，着重突出产出、成本、效益、可持续影响力和满意度等核心绩效指标。将绩效目标量化为数量、质量、时效、成本，以及社会效益、满意度和影响力等二级指标，并细化为31项三级指标。</w:t>
      </w:r>
    </w:p>
    <w:p>
      <w:pPr>
        <w:pStyle w:val="14"/>
        <w:spacing w:line="360" w:lineRule="auto"/>
        <w:jc w:val="both"/>
      </w:pPr>
      <w:r>
        <w:rPr>
          <w:rFonts w:hint="eastAsia" w:cs="仿宋_GB2312"/>
          <w:sz w:val="32"/>
          <w:szCs w:val="32"/>
        </w:rPr>
        <w:t>根据指标体系评分标准，绩效目标设定的绩效指标清晰、可衡量，并细化为31项三级指标。指标得分为2分。</w:t>
      </w:r>
    </w:p>
    <w:p>
      <w:pPr>
        <w:spacing w:line="360" w:lineRule="auto"/>
        <w:ind w:left="640" w:leftChars="200" w:firstLine="0" w:firstLineChars="0"/>
        <w:rPr>
          <w:rFonts w:cs="仿宋_GB2312"/>
          <w:b/>
          <w:szCs w:val="32"/>
        </w:rPr>
      </w:pPr>
      <w:r>
        <w:rPr>
          <w:rFonts w:hint="eastAsia" w:cs="仿宋_GB2312"/>
          <w:b/>
          <w:szCs w:val="32"/>
        </w:rPr>
        <w:t>3.资金投入（1分）（-3分）</w:t>
      </w:r>
    </w:p>
    <w:p>
      <w:pPr>
        <w:spacing w:line="360" w:lineRule="auto"/>
        <w:rPr>
          <w:rFonts w:cs="仿宋_GB2312"/>
          <w:kern w:val="0"/>
          <w:szCs w:val="32"/>
        </w:rPr>
      </w:pPr>
      <w:r>
        <w:rPr>
          <w:rFonts w:hint="eastAsia" w:cs="仿宋_GB2312"/>
          <w:kern w:val="0"/>
          <w:szCs w:val="32"/>
        </w:rPr>
        <w:t>资金投入指标分值4分，得分为1分。</w:t>
      </w:r>
      <w:r>
        <w:rPr>
          <w:rFonts w:hint="eastAsia" w:cs="仿宋_GB2312"/>
        </w:rPr>
        <w:t>省委编</w:t>
      </w:r>
      <w:r>
        <w:rPr>
          <w:rFonts w:cs="仿宋_GB2312"/>
        </w:rPr>
        <w:t>办</w:t>
      </w:r>
      <w:r>
        <w:rPr>
          <w:rFonts w:hint="eastAsia" w:cs="仿宋_GB2312"/>
          <w:kern w:val="0"/>
          <w:szCs w:val="32"/>
        </w:rPr>
        <w:t>2020年专项业务费项目预算编制的科学性不高，</w:t>
      </w:r>
      <w:r>
        <w:rPr>
          <w:rFonts w:hint="eastAsia" w:cs="仿宋_GB2312"/>
          <w:szCs w:val="32"/>
        </w:rPr>
        <w:t>部分预算资金有支出分配，但预算资金分配无相关测算依据</w:t>
      </w:r>
      <w:r>
        <w:rPr>
          <w:rFonts w:hint="eastAsia" w:cs="仿宋_GB2312"/>
          <w:kern w:val="0"/>
          <w:szCs w:val="32"/>
        </w:rPr>
        <w:t>。</w:t>
      </w:r>
    </w:p>
    <w:p>
      <w:pPr>
        <w:spacing w:line="360" w:lineRule="auto"/>
        <w:ind w:left="640" w:leftChars="200" w:firstLine="0" w:firstLineChars="0"/>
        <w:rPr>
          <w:rFonts w:cs="仿宋_GB2312"/>
          <w:b/>
          <w:szCs w:val="32"/>
        </w:rPr>
      </w:pPr>
      <w:r>
        <w:rPr>
          <w:rFonts w:hint="eastAsia" w:cs="仿宋_GB2312"/>
          <w:b/>
          <w:szCs w:val="32"/>
        </w:rPr>
        <w:t>（1）预算编制科学性（</w:t>
      </w:r>
      <w:r>
        <w:rPr>
          <w:rFonts w:cs="仿宋_GB2312"/>
          <w:b/>
          <w:szCs w:val="32"/>
        </w:rPr>
        <w:t>0</w:t>
      </w:r>
      <w:r>
        <w:rPr>
          <w:rFonts w:hint="eastAsia" w:cs="仿宋_GB2312"/>
          <w:b/>
          <w:szCs w:val="32"/>
        </w:rPr>
        <w:t>分）（-2分）</w:t>
      </w:r>
    </w:p>
    <w:p>
      <w:pPr>
        <w:spacing w:line="360" w:lineRule="auto"/>
        <w:rPr>
          <w:rFonts w:cs="仿宋_GB2312"/>
          <w:kern w:val="0"/>
          <w:szCs w:val="32"/>
        </w:rPr>
      </w:pPr>
      <w:r>
        <w:rPr>
          <w:rFonts w:hint="eastAsia" w:cs="仿宋_GB2312"/>
          <w:kern w:val="0"/>
          <w:szCs w:val="32"/>
        </w:rPr>
        <w:t>预算编制科学性指标分值2分，指标得分0分。经现场勘查和查阅</w:t>
      </w:r>
      <w:r>
        <w:rPr>
          <w:rFonts w:hint="eastAsia" w:cs="仿宋_GB2312"/>
        </w:rPr>
        <w:t>省委编</w:t>
      </w:r>
      <w:r>
        <w:rPr>
          <w:rFonts w:cs="仿宋_GB2312"/>
        </w:rPr>
        <w:t>办</w:t>
      </w:r>
      <w:r>
        <w:rPr>
          <w:rFonts w:hint="eastAsia" w:cs="仿宋_GB2312"/>
          <w:kern w:val="0"/>
          <w:szCs w:val="32"/>
        </w:rPr>
        <w:t>提供的项目资料，</w:t>
      </w:r>
      <w:r>
        <w:rPr>
          <w:rFonts w:hint="eastAsia" w:cs="仿宋_GB2312"/>
        </w:rPr>
        <w:t>省委编</w:t>
      </w:r>
      <w:r>
        <w:rPr>
          <w:rFonts w:cs="仿宋_GB2312"/>
        </w:rPr>
        <w:t>办</w:t>
      </w:r>
      <w:r>
        <w:rPr>
          <w:rFonts w:hint="eastAsia" w:cs="仿宋_GB2312"/>
          <w:kern w:val="0"/>
          <w:szCs w:val="32"/>
        </w:rPr>
        <w:t>2020年专项业务费项目未根据年度目标任务编制预算，未按照相关标准分解预算额度，没有对专项支出分类依次落实、细化到具体项目上。</w:t>
      </w:r>
    </w:p>
    <w:p>
      <w:pPr>
        <w:spacing w:line="360" w:lineRule="auto"/>
        <w:rPr>
          <w:rFonts w:cs="仿宋_GB2312"/>
          <w:kern w:val="0"/>
          <w:szCs w:val="32"/>
        </w:rPr>
      </w:pPr>
      <w:r>
        <w:rPr>
          <w:rFonts w:hint="eastAsia" w:cs="仿宋_GB2312"/>
          <w:kern w:val="0"/>
          <w:szCs w:val="32"/>
        </w:rPr>
        <w:t>根据指标体系评分标准，项目预算编制的科学性不高，扣2分，得分为0分。</w:t>
      </w:r>
    </w:p>
    <w:p>
      <w:pPr>
        <w:spacing w:line="360" w:lineRule="auto"/>
        <w:ind w:firstLine="643"/>
        <w:rPr>
          <w:rFonts w:cs="仿宋_GB2312"/>
          <w:b/>
          <w:bCs/>
          <w:szCs w:val="32"/>
        </w:rPr>
      </w:pPr>
      <w:r>
        <w:rPr>
          <w:rFonts w:hint="eastAsia" w:cs="仿宋_GB2312"/>
          <w:b/>
          <w:bCs/>
        </w:rPr>
        <w:t>（2）资金分配合理性</w:t>
      </w:r>
      <w:r>
        <w:rPr>
          <w:rFonts w:hint="eastAsia" w:cs="仿宋_GB2312"/>
          <w:b/>
          <w:bCs/>
          <w:szCs w:val="32"/>
        </w:rPr>
        <w:t>（1分）</w:t>
      </w:r>
      <w:r>
        <w:rPr>
          <w:rFonts w:hint="eastAsia" w:cs="仿宋_GB2312"/>
          <w:b/>
          <w:szCs w:val="32"/>
        </w:rPr>
        <w:t>（-1分）</w:t>
      </w:r>
    </w:p>
    <w:p>
      <w:pPr>
        <w:spacing w:line="360" w:lineRule="auto"/>
        <w:rPr>
          <w:rFonts w:cs="仿宋_GB2312"/>
          <w:szCs w:val="32"/>
        </w:rPr>
      </w:pPr>
      <w:r>
        <w:rPr>
          <w:rFonts w:hint="eastAsia" w:cs="仿宋_GB2312"/>
          <w:szCs w:val="32"/>
        </w:rPr>
        <w:t>资金分配合理性指标分值2分，指标得分1分。经</w:t>
      </w:r>
      <w:r>
        <w:rPr>
          <w:rFonts w:hint="eastAsia" w:cs="仿宋_GB2312"/>
          <w:kern w:val="0"/>
          <w:szCs w:val="32"/>
        </w:rPr>
        <w:t>现场勘查和查阅</w:t>
      </w:r>
      <w:r>
        <w:rPr>
          <w:rFonts w:hint="eastAsia" w:cs="仿宋_GB2312"/>
        </w:rPr>
        <w:t>省委编</w:t>
      </w:r>
      <w:r>
        <w:rPr>
          <w:rFonts w:cs="仿宋_GB2312"/>
        </w:rPr>
        <w:t>办</w:t>
      </w:r>
      <w:r>
        <w:rPr>
          <w:rFonts w:hint="eastAsia" w:cs="仿宋_GB2312"/>
          <w:kern w:val="0"/>
          <w:szCs w:val="32"/>
        </w:rPr>
        <w:t>提供的项目资料</w:t>
      </w:r>
      <w:r>
        <w:rPr>
          <w:rFonts w:hint="eastAsia" w:cs="仿宋_GB2312"/>
          <w:szCs w:val="32"/>
        </w:rPr>
        <w:t>，甘肃省委机构编制委员会办公室在年初编制预算时仅对2020年专项业务费400万元在日常运行支出进行了分配，其中办公费45万元、印刷费35万元、电费13万元、差旅费15万元、会议费25万元、办公设备购置费25万元，日常运行支出共158万元。项目其它支出未做相关说明，且日常运行支出未提供相关预算资金分配依据。</w:t>
      </w:r>
    </w:p>
    <w:p>
      <w:pPr>
        <w:spacing w:line="360" w:lineRule="auto"/>
        <w:rPr>
          <w:rFonts w:cs="仿宋_GB2312"/>
          <w:szCs w:val="32"/>
        </w:rPr>
      </w:pPr>
      <w:r>
        <w:rPr>
          <w:rFonts w:hint="eastAsia" w:cs="仿宋_GB2312"/>
          <w:szCs w:val="32"/>
        </w:rPr>
        <w:t>根据指标体系评分标准，项目部分预算资金有支出分配，但预算资金分配无相关测算依据，扣1分，得分为1分。</w:t>
      </w:r>
    </w:p>
    <w:p>
      <w:pPr>
        <w:pStyle w:val="4"/>
        <w:keepNext w:val="0"/>
        <w:keepLines w:val="0"/>
        <w:spacing w:line="360" w:lineRule="auto"/>
        <w:ind w:firstLine="643"/>
        <w:rPr>
          <w:rFonts w:ascii="楷体" w:hAnsi="楷体" w:eastAsia="楷体" w:cs="楷体"/>
        </w:rPr>
      </w:pPr>
      <w:bookmarkStart w:id="63" w:name="_Toc13838"/>
      <w:r>
        <w:rPr>
          <w:rFonts w:hint="eastAsia" w:ascii="楷体" w:hAnsi="楷体" w:eastAsia="楷体" w:cs="楷体"/>
        </w:rPr>
        <w:fldChar w:fldCharType="begin"/>
      </w:r>
      <w:r>
        <w:rPr>
          <w:rFonts w:hint="eastAsia" w:ascii="楷体" w:hAnsi="楷体" w:eastAsia="楷体" w:cs="楷体"/>
        </w:rPr>
        <w:instrText xml:space="preserve"> HYPERLINK \l "_Toc30985" </w:instrText>
      </w:r>
      <w:r>
        <w:rPr>
          <w:rFonts w:hint="eastAsia" w:ascii="楷体" w:hAnsi="楷体" w:eastAsia="楷体" w:cs="楷体"/>
        </w:rPr>
        <w:fldChar w:fldCharType="separate"/>
      </w:r>
      <w:r>
        <w:rPr>
          <w:rFonts w:hint="eastAsia" w:ascii="楷体" w:hAnsi="楷体" w:eastAsia="楷体" w:cs="楷体"/>
        </w:rPr>
        <w:t>（二）项目过程</w:t>
      </w:r>
      <w:r>
        <w:rPr>
          <w:rFonts w:hint="eastAsia" w:ascii="楷体" w:hAnsi="楷体" w:eastAsia="楷体" w:cs="楷体"/>
        </w:rPr>
        <w:fldChar w:fldCharType="end"/>
      </w:r>
      <w:r>
        <w:rPr>
          <w:rFonts w:hint="eastAsia" w:ascii="楷体" w:hAnsi="楷体" w:eastAsia="楷体" w:cs="楷体"/>
        </w:rPr>
        <w:t>情况</w:t>
      </w:r>
      <w:bookmarkEnd w:id="63"/>
    </w:p>
    <w:p>
      <w:pPr>
        <w:spacing w:line="360" w:lineRule="auto"/>
        <w:rPr>
          <w:rFonts w:cs="仿宋_GB2312"/>
        </w:rPr>
      </w:pPr>
      <w:r>
        <w:rPr>
          <w:rFonts w:hint="eastAsia" w:cs="仿宋_GB2312"/>
        </w:rPr>
        <w:t>省委编</w:t>
      </w:r>
      <w:r>
        <w:rPr>
          <w:rFonts w:cs="仿宋_GB2312"/>
        </w:rPr>
        <w:t>办</w:t>
      </w:r>
      <w:r>
        <w:rPr>
          <w:rFonts w:hint="eastAsia" w:cs="仿宋_GB2312"/>
        </w:rPr>
        <w:t>2020年专项业务费项目绩效评价过程类指标分别从资金管理和组织实施两个方面进行综合分析。各项指标具体得分情况如下表所示：</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2199"/>
        <w:gridCol w:w="3242"/>
        <w:gridCol w:w="1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4"/>
            <w:tcBorders>
              <w:top w:val="nil"/>
              <w:left w:val="nil"/>
              <w:bottom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bCs/>
                <w:sz w:val="28"/>
                <w:szCs w:val="28"/>
              </w:rPr>
              <w:t>表4  过程类各项指标绩效评价</w:t>
            </w:r>
            <w:r>
              <w:rPr>
                <w:rFonts w:hint="eastAsia" w:ascii="宋体" w:hAnsi="宋体" w:eastAsia="宋体" w:cs="宋体"/>
                <w:b/>
                <w:sz w:val="28"/>
                <w:szCs w:val="28"/>
              </w:rPr>
              <w:t>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tcBorders>
              <w:top w:val="double" w:color="000000" w:sz="4" w:space="0"/>
              <w:lef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一级指标</w:t>
            </w:r>
          </w:p>
        </w:tc>
        <w:tc>
          <w:tcPr>
            <w:tcW w:w="2199" w:type="dxa"/>
            <w:tcBorders>
              <w:top w:val="double" w:color="000000" w:sz="4" w:space="0"/>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二级指标</w:t>
            </w:r>
          </w:p>
        </w:tc>
        <w:tc>
          <w:tcPr>
            <w:tcW w:w="3242" w:type="dxa"/>
            <w:tcBorders>
              <w:top w:val="double" w:color="000000" w:sz="4" w:space="0"/>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三级指标</w:t>
            </w:r>
          </w:p>
        </w:tc>
        <w:tc>
          <w:tcPr>
            <w:tcW w:w="1106" w:type="dxa"/>
            <w:tcBorders>
              <w:top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restart"/>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过程</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得分率：92%</w:t>
            </w:r>
          </w:p>
        </w:tc>
        <w:tc>
          <w:tcPr>
            <w:tcW w:w="2199" w:type="dxa"/>
            <w:vMerge w:val="restart"/>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资金管理</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得分率：100%</w:t>
            </w:r>
          </w:p>
        </w:tc>
        <w:tc>
          <w:tcPr>
            <w:tcW w:w="227" w:type="dxa"/>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资金到位率</w:t>
            </w:r>
          </w:p>
        </w:tc>
        <w:tc>
          <w:tcPr>
            <w:tcW w:w="227" w:type="dxa"/>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spacing w:line="240" w:lineRule="auto"/>
              <w:ind w:firstLine="0" w:firstLineChars="0"/>
              <w:jc w:val="center"/>
              <w:rPr>
                <w:rFonts w:ascii="宋体" w:hAnsi="宋体" w:eastAsia="宋体" w:cs="宋体"/>
                <w:bCs/>
                <w:sz w:val="24"/>
                <w:szCs w:val="22"/>
              </w:rPr>
            </w:pPr>
          </w:p>
        </w:tc>
        <w:tc>
          <w:tcPr>
            <w:tcW w:w="2199" w:type="dxa"/>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227" w:type="dxa"/>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预算执行率</w:t>
            </w:r>
          </w:p>
        </w:tc>
        <w:tc>
          <w:tcPr>
            <w:tcW w:w="227" w:type="dxa"/>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spacing w:line="240" w:lineRule="auto"/>
              <w:ind w:firstLine="0" w:firstLineChars="0"/>
              <w:jc w:val="center"/>
              <w:rPr>
                <w:rFonts w:ascii="宋体" w:hAnsi="宋体" w:eastAsia="宋体" w:cs="宋体"/>
                <w:bCs/>
                <w:sz w:val="24"/>
                <w:szCs w:val="22"/>
              </w:rPr>
            </w:pPr>
          </w:p>
        </w:tc>
        <w:tc>
          <w:tcPr>
            <w:tcW w:w="2199" w:type="dxa"/>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227" w:type="dxa"/>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资金使用合规性</w:t>
            </w:r>
          </w:p>
        </w:tc>
        <w:tc>
          <w:tcPr>
            <w:tcW w:w="227" w:type="dxa"/>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spacing w:line="240" w:lineRule="auto"/>
              <w:ind w:firstLine="0" w:firstLineChars="0"/>
              <w:jc w:val="center"/>
              <w:rPr>
                <w:rFonts w:ascii="宋体" w:hAnsi="宋体" w:eastAsia="宋体" w:cs="宋体"/>
                <w:bCs/>
                <w:sz w:val="24"/>
                <w:szCs w:val="22"/>
              </w:rPr>
            </w:pPr>
          </w:p>
        </w:tc>
        <w:tc>
          <w:tcPr>
            <w:tcW w:w="2199" w:type="dxa"/>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3242" w:type="dxa"/>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会计信息质量</w:t>
            </w:r>
          </w:p>
        </w:tc>
        <w:tc>
          <w:tcPr>
            <w:tcW w:w="1106" w:type="dxa"/>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2199" w:type="dxa"/>
            <w:vMerge w:val="restart"/>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组织实施</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得分率：80%</w:t>
            </w:r>
          </w:p>
        </w:tc>
        <w:tc>
          <w:tcPr>
            <w:tcW w:w="3242" w:type="dxa"/>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管理制度健全性</w:t>
            </w:r>
          </w:p>
        </w:tc>
        <w:tc>
          <w:tcPr>
            <w:tcW w:w="1106" w:type="dxa"/>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2199" w:type="dxa"/>
            <w:vMerge w:val="continue"/>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510" w:type="dxa"/>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制度执行有效性</w:t>
            </w:r>
          </w:p>
        </w:tc>
        <w:tc>
          <w:tcPr>
            <w:tcW w:w="510" w:type="dxa"/>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2199" w:type="dxa"/>
            <w:vMerge w:val="continue"/>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3247" w:type="dxa"/>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bCs/>
                <w:sz w:val="24"/>
                <w:szCs w:val="22"/>
              </w:rPr>
              <w:t>采购管理合规性</w:t>
            </w:r>
          </w:p>
        </w:tc>
        <w:tc>
          <w:tcPr>
            <w:tcW w:w="1101" w:type="dxa"/>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975" w:type="dxa"/>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2199" w:type="dxa"/>
            <w:vMerge w:val="continue"/>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3247" w:type="dxa"/>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档案管理规范性</w:t>
            </w:r>
          </w:p>
        </w:tc>
        <w:tc>
          <w:tcPr>
            <w:tcW w:w="1101" w:type="dxa"/>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421" w:type="dxa"/>
            <w:gridSpan w:val="3"/>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“过程”情况评级</w:t>
            </w:r>
          </w:p>
        </w:tc>
        <w:tc>
          <w:tcPr>
            <w:tcW w:w="1101" w:type="dxa"/>
            <w:tcBorders>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1" w:hRule="atLeast"/>
          <w:jc w:val="center"/>
        </w:trPr>
        <w:tc>
          <w:tcPr>
            <w:tcW w:w="8522" w:type="dxa"/>
            <w:gridSpan w:val="4"/>
            <w:tcBorders>
              <w:left w:val="nil"/>
              <w:bottom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drawing>
                <wp:inline distT="0" distB="0" distL="114300" distR="114300">
                  <wp:extent cx="4572000" cy="3114675"/>
                  <wp:effectExtent l="0" t="0" r="0" b="0"/>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r>
    </w:tbl>
    <w:p>
      <w:pPr>
        <w:spacing w:line="360" w:lineRule="auto"/>
        <w:ind w:firstLine="643"/>
        <w:rPr>
          <w:b/>
          <w:bCs/>
        </w:rPr>
      </w:pPr>
      <w:r>
        <w:rPr>
          <w:rFonts w:hint="eastAsia"/>
          <w:b/>
          <w:bCs/>
        </w:rPr>
        <w:t>1.资金管理（15分）</w:t>
      </w:r>
    </w:p>
    <w:p>
      <w:pPr>
        <w:spacing w:line="360" w:lineRule="auto"/>
        <w:rPr>
          <w:b/>
          <w:bCs/>
        </w:rPr>
      </w:pPr>
      <w:r>
        <w:rPr>
          <w:rFonts w:hint="eastAsia" w:cs="仿宋_GB2312"/>
          <w:szCs w:val="32"/>
        </w:rPr>
        <w:t>资金管理指标分值15分，得分为15分。</w:t>
      </w:r>
      <w:r>
        <w:rPr>
          <w:rFonts w:hint="eastAsia" w:cs="仿宋_GB2312"/>
        </w:rPr>
        <w:t>省委编</w:t>
      </w:r>
      <w:r>
        <w:rPr>
          <w:rFonts w:cs="仿宋_GB2312"/>
        </w:rPr>
        <w:t>办</w:t>
      </w:r>
      <w:r>
        <w:rPr>
          <w:rFonts w:hint="eastAsia" w:cs="仿宋_GB2312"/>
        </w:rPr>
        <w:t>2020年专项业务费项目预算资金足额到位，使用合规，执行率100%；不存在截留、挤占、挪用、虚列支出等情况，</w:t>
      </w:r>
      <w:r>
        <w:rPr>
          <w:rFonts w:hint="eastAsia" w:cs="仿宋_GB2312"/>
          <w:szCs w:val="32"/>
        </w:rPr>
        <w:t>会计信息真实完整、凭证齐全。</w:t>
      </w:r>
    </w:p>
    <w:p>
      <w:pPr>
        <w:pStyle w:val="14"/>
        <w:spacing w:line="360" w:lineRule="auto"/>
        <w:ind w:firstLine="643"/>
        <w:jc w:val="both"/>
        <w:rPr>
          <w:rFonts w:cs="仿宋_GB2312"/>
          <w:b/>
          <w:bCs/>
          <w:sz w:val="32"/>
          <w:szCs w:val="32"/>
        </w:rPr>
      </w:pPr>
      <w:r>
        <w:rPr>
          <w:rFonts w:hint="eastAsia" w:cs="仿宋_GB2312"/>
          <w:b/>
          <w:bCs/>
          <w:sz w:val="32"/>
          <w:szCs w:val="32"/>
        </w:rPr>
        <w:t>（1）资金到位率（3分）</w:t>
      </w:r>
    </w:p>
    <w:p>
      <w:pPr>
        <w:spacing w:line="360" w:lineRule="auto"/>
      </w:pPr>
      <w:r>
        <w:rPr>
          <w:rFonts w:hint="eastAsia" w:cs="仿宋_GB2312"/>
        </w:rPr>
        <w:t>资金到位率指标分值3分，得分为3分。经</w:t>
      </w:r>
      <w:r>
        <w:rPr>
          <w:rFonts w:hint="eastAsia"/>
        </w:rPr>
        <w:t>现场勘查和查阅</w:t>
      </w:r>
      <w:r>
        <w:rPr>
          <w:rFonts w:hint="eastAsia" w:cs="仿宋_GB2312"/>
        </w:rPr>
        <w:t>省委编</w:t>
      </w:r>
      <w:r>
        <w:rPr>
          <w:rFonts w:cs="仿宋_GB2312"/>
        </w:rPr>
        <w:t>办</w:t>
      </w:r>
      <w:r>
        <w:rPr>
          <w:rFonts w:hint="eastAsia"/>
        </w:rPr>
        <w:t>提供的项目资金记账凭证，</w:t>
      </w:r>
      <w:r>
        <w:rPr>
          <w:rFonts w:hint="eastAsia" w:cs="仿宋_GB2312"/>
        </w:rPr>
        <w:t>省委编</w:t>
      </w:r>
      <w:r>
        <w:rPr>
          <w:rFonts w:cs="仿宋_GB2312"/>
        </w:rPr>
        <w:t>办</w:t>
      </w:r>
      <w:r>
        <w:rPr>
          <w:rFonts w:hint="eastAsia"/>
        </w:rPr>
        <w:t>2020年专项业务费项目预算400万元，截止2020年12月31日，实际拨付到位</w:t>
      </w:r>
      <w:r>
        <w:rPr>
          <w:rFonts w:hint="eastAsia" w:cs="仿宋_GB2312"/>
          <w:szCs w:val="32"/>
        </w:rPr>
        <w:t>403.6907万元（其中：当年财政拨款400万元，上年结转资金3.6907万元）</w:t>
      </w:r>
      <w:r>
        <w:rPr>
          <w:rFonts w:hint="eastAsia"/>
        </w:rPr>
        <w:t>。资金到位率</w:t>
      </w:r>
      <w:r>
        <w:rPr>
          <w:rFonts w:hint="eastAsia" w:cs="仿宋_GB2312"/>
          <w:szCs w:val="32"/>
        </w:rPr>
        <w:t>＝</w:t>
      </w:r>
      <w:r>
        <w:rPr>
          <w:rFonts w:hint="eastAsia"/>
        </w:rPr>
        <w:t>（实际到位资金/预算资金）×100%</w:t>
      </w:r>
      <w:r>
        <w:rPr>
          <w:rFonts w:hint="eastAsia" w:cs="仿宋_GB2312"/>
          <w:szCs w:val="32"/>
        </w:rPr>
        <w:t>＝403.6907</w:t>
      </w:r>
      <w:r>
        <w:rPr>
          <w:rFonts w:hint="eastAsia"/>
        </w:rPr>
        <w:t>/400*100%</w:t>
      </w:r>
      <w:r>
        <w:rPr>
          <w:rFonts w:hint="eastAsia" w:cs="仿宋_GB2312"/>
          <w:szCs w:val="32"/>
        </w:rPr>
        <w:t>＝</w:t>
      </w:r>
      <w:r>
        <w:rPr>
          <w:rFonts w:hint="eastAsia"/>
        </w:rPr>
        <w:t>100.92%。</w:t>
      </w:r>
    </w:p>
    <w:p>
      <w:pPr>
        <w:spacing w:line="360" w:lineRule="auto"/>
        <w:rPr>
          <w:rFonts w:cs="仿宋_GB2312"/>
        </w:rPr>
      </w:pPr>
      <w:r>
        <w:rPr>
          <w:rFonts w:hint="eastAsia" w:cs="仿宋_GB2312"/>
          <w:szCs w:val="32"/>
        </w:rPr>
        <w:t>根据指</w:t>
      </w:r>
      <w:r>
        <w:rPr>
          <w:rFonts w:hint="eastAsia" w:cs="仿宋_GB2312"/>
        </w:rPr>
        <w:t>标体系评分标准，资金到位率</w:t>
      </w:r>
      <w:r>
        <w:rPr>
          <w:rFonts w:hint="eastAsia"/>
        </w:rPr>
        <w:t>100.92%</w:t>
      </w:r>
      <w:r>
        <w:rPr>
          <w:rFonts w:hint="eastAsia" w:cs="仿宋_GB2312"/>
        </w:rPr>
        <w:t>。指标分值</w:t>
      </w:r>
      <w:r>
        <w:rPr>
          <w:rFonts w:hint="eastAsia" w:cs="仿宋_GB2312"/>
          <w:szCs w:val="32"/>
        </w:rPr>
        <w:t>＝</w:t>
      </w:r>
      <w:r>
        <w:rPr>
          <w:rFonts w:hint="eastAsia" w:cs="仿宋_GB2312"/>
        </w:rPr>
        <w:t>资金到位率*满分值3分</w:t>
      </w:r>
      <w:r>
        <w:rPr>
          <w:rFonts w:hint="eastAsia" w:cs="仿宋_GB2312"/>
          <w:szCs w:val="32"/>
        </w:rPr>
        <w:t>＝</w:t>
      </w:r>
      <w:r>
        <w:rPr>
          <w:rFonts w:hint="eastAsia"/>
        </w:rPr>
        <w:t>100.92%</w:t>
      </w:r>
      <w:r>
        <w:rPr>
          <w:rFonts w:hint="eastAsia" w:cs="仿宋_GB2312"/>
        </w:rPr>
        <w:t>*3分</w:t>
      </w:r>
      <w:r>
        <w:rPr>
          <w:rFonts w:hint="eastAsia" w:cs="仿宋_GB2312"/>
          <w:szCs w:val="32"/>
        </w:rPr>
        <w:t>＝</w:t>
      </w:r>
      <w:r>
        <w:rPr>
          <w:rFonts w:hint="eastAsia" w:cs="仿宋_GB2312"/>
        </w:rPr>
        <w:t>3分，得分为3分。</w:t>
      </w:r>
    </w:p>
    <w:p>
      <w:pPr>
        <w:pStyle w:val="14"/>
        <w:spacing w:line="360" w:lineRule="auto"/>
        <w:ind w:firstLine="643"/>
        <w:jc w:val="both"/>
        <w:rPr>
          <w:rFonts w:cs="仿宋_GB2312"/>
          <w:b/>
          <w:bCs/>
          <w:sz w:val="32"/>
          <w:szCs w:val="32"/>
        </w:rPr>
      </w:pPr>
      <w:r>
        <w:rPr>
          <w:rFonts w:hint="eastAsia" w:cs="仿宋_GB2312"/>
          <w:b/>
          <w:bCs/>
          <w:sz w:val="32"/>
          <w:szCs w:val="32"/>
        </w:rPr>
        <w:t>（2）预算执行率（4分）</w:t>
      </w:r>
    </w:p>
    <w:p>
      <w:pPr>
        <w:pStyle w:val="14"/>
        <w:spacing w:line="360" w:lineRule="auto"/>
        <w:jc w:val="both"/>
        <w:rPr>
          <w:rFonts w:cs="仿宋_GB2312"/>
          <w:kern w:val="2"/>
          <w:sz w:val="32"/>
        </w:rPr>
      </w:pPr>
      <w:r>
        <w:rPr>
          <w:rFonts w:hint="eastAsia" w:cs="仿宋_GB2312"/>
          <w:kern w:val="2"/>
          <w:sz w:val="32"/>
        </w:rPr>
        <w:t>预算执行率指标分值4分，得分为4分。经现场勘查及核查项目资料、财务凭证，截止2020年12月31日，</w:t>
      </w:r>
      <w:r>
        <w:rPr>
          <w:rFonts w:hint="eastAsia" w:cs="仿宋_GB2312"/>
        </w:rPr>
        <w:t>省委编</w:t>
      </w:r>
      <w:r>
        <w:rPr>
          <w:rFonts w:cs="仿宋_GB2312"/>
        </w:rPr>
        <w:t>办</w:t>
      </w:r>
      <w:r>
        <w:rPr>
          <w:rFonts w:hint="eastAsia" w:cs="仿宋_GB2312"/>
          <w:kern w:val="2"/>
          <w:sz w:val="32"/>
        </w:rPr>
        <w:t>2020专项业务费项目到位资金</w:t>
      </w:r>
      <w:r>
        <w:rPr>
          <w:rFonts w:hint="eastAsia" w:cs="仿宋_GB2312"/>
          <w:sz w:val="32"/>
          <w:szCs w:val="32"/>
        </w:rPr>
        <w:t>403.6907</w:t>
      </w:r>
      <w:r>
        <w:rPr>
          <w:rFonts w:hint="eastAsia" w:cs="仿宋_GB2312"/>
          <w:kern w:val="2"/>
          <w:sz w:val="32"/>
        </w:rPr>
        <w:t>6万元，实际支出</w:t>
      </w:r>
      <w:r>
        <w:rPr>
          <w:rFonts w:hint="eastAsia" w:cs="仿宋_GB2312"/>
          <w:sz w:val="32"/>
          <w:szCs w:val="32"/>
        </w:rPr>
        <w:t>403.6907</w:t>
      </w:r>
      <w:r>
        <w:rPr>
          <w:rFonts w:hint="eastAsia" w:cs="仿宋_GB2312"/>
          <w:kern w:val="2"/>
          <w:sz w:val="32"/>
        </w:rPr>
        <w:t>万元，预算执行率</w:t>
      </w:r>
      <w:r>
        <w:rPr>
          <w:rFonts w:hint="eastAsia" w:cs="仿宋_GB2312"/>
          <w:kern w:val="2"/>
          <w:sz w:val="32"/>
          <w:szCs w:val="32"/>
        </w:rPr>
        <w:t>＝</w:t>
      </w:r>
      <w:r>
        <w:rPr>
          <w:rFonts w:hint="eastAsia" w:cs="仿宋_GB2312"/>
          <w:kern w:val="2"/>
          <w:sz w:val="32"/>
        </w:rPr>
        <w:t>（实际支出资金/实际到位资金）×100%</w:t>
      </w:r>
      <w:r>
        <w:rPr>
          <w:rFonts w:hint="eastAsia" w:cs="仿宋_GB2312"/>
          <w:kern w:val="2"/>
          <w:sz w:val="32"/>
          <w:szCs w:val="32"/>
        </w:rPr>
        <w:t>＝</w:t>
      </w:r>
      <w:r>
        <w:rPr>
          <w:rFonts w:hint="eastAsia" w:cs="仿宋_GB2312"/>
          <w:sz w:val="32"/>
          <w:szCs w:val="32"/>
        </w:rPr>
        <w:t>403.6907</w:t>
      </w:r>
      <w:r>
        <w:rPr>
          <w:rFonts w:hint="eastAsia" w:cs="仿宋_GB2312"/>
          <w:kern w:val="2"/>
          <w:sz w:val="32"/>
        </w:rPr>
        <w:t>/</w:t>
      </w:r>
      <w:r>
        <w:rPr>
          <w:rFonts w:hint="eastAsia" w:cs="仿宋_GB2312"/>
          <w:sz w:val="32"/>
          <w:szCs w:val="32"/>
        </w:rPr>
        <w:t>403.6907</w:t>
      </w:r>
      <w:r>
        <w:rPr>
          <w:rFonts w:hint="eastAsia" w:cs="仿宋_GB2312"/>
          <w:kern w:val="2"/>
          <w:sz w:val="32"/>
        </w:rPr>
        <w:t>*100%</w:t>
      </w:r>
      <w:r>
        <w:rPr>
          <w:rFonts w:hint="eastAsia" w:cs="仿宋_GB2312"/>
          <w:kern w:val="2"/>
          <w:sz w:val="32"/>
          <w:szCs w:val="32"/>
        </w:rPr>
        <w:t>＝</w:t>
      </w:r>
      <w:r>
        <w:rPr>
          <w:rFonts w:hint="eastAsia" w:cs="仿宋_GB2312"/>
          <w:kern w:val="2"/>
          <w:sz w:val="32"/>
        </w:rPr>
        <w:t>100%。</w:t>
      </w:r>
    </w:p>
    <w:p>
      <w:pPr>
        <w:spacing w:line="360" w:lineRule="auto"/>
        <w:rPr>
          <w:b/>
          <w:bCs/>
        </w:rPr>
      </w:pPr>
      <w:r>
        <w:rPr>
          <w:rFonts w:hint="eastAsia" w:cs="仿宋_GB2312"/>
          <w:szCs w:val="32"/>
        </w:rPr>
        <w:t>根据指</w:t>
      </w:r>
      <w:r>
        <w:rPr>
          <w:rFonts w:hint="eastAsia" w:cs="仿宋_GB2312"/>
        </w:rPr>
        <w:t>标体系评分标准，预算执行率指标得分分值</w:t>
      </w:r>
      <w:r>
        <w:rPr>
          <w:rFonts w:hint="eastAsia" w:cs="仿宋_GB2312"/>
          <w:szCs w:val="32"/>
        </w:rPr>
        <w:t>＝</w:t>
      </w:r>
      <w:r>
        <w:rPr>
          <w:rFonts w:hint="eastAsia" w:cs="仿宋_GB2312"/>
        </w:rPr>
        <w:t>预算执行率*指标满分值4分，因此该项指标得分</w:t>
      </w:r>
      <w:r>
        <w:rPr>
          <w:rFonts w:hint="eastAsia" w:cs="仿宋_GB2312"/>
          <w:szCs w:val="32"/>
        </w:rPr>
        <w:t>＝</w:t>
      </w:r>
      <w:r>
        <w:rPr>
          <w:rFonts w:hint="eastAsia" w:cs="仿宋_GB2312"/>
        </w:rPr>
        <w:t>100%*4分</w:t>
      </w:r>
      <w:r>
        <w:rPr>
          <w:rFonts w:hint="eastAsia" w:cs="仿宋_GB2312"/>
          <w:szCs w:val="32"/>
        </w:rPr>
        <w:t>＝</w:t>
      </w:r>
      <w:r>
        <w:rPr>
          <w:rFonts w:hint="eastAsia" w:cs="仿宋_GB2312"/>
        </w:rPr>
        <w:t>4分。</w:t>
      </w:r>
    </w:p>
    <w:p>
      <w:pPr>
        <w:spacing w:line="360" w:lineRule="auto"/>
        <w:ind w:left="640" w:leftChars="200" w:firstLine="0" w:firstLineChars="0"/>
        <w:rPr>
          <w:rFonts w:cs="仿宋_GB2312"/>
          <w:b/>
          <w:szCs w:val="32"/>
        </w:rPr>
      </w:pPr>
      <w:r>
        <w:rPr>
          <w:rFonts w:hint="eastAsia" w:cs="仿宋_GB2312"/>
          <w:b/>
          <w:szCs w:val="32"/>
        </w:rPr>
        <w:t>（3）资金使用合规性（4分）</w:t>
      </w:r>
    </w:p>
    <w:p>
      <w:pPr>
        <w:spacing w:line="360" w:lineRule="auto"/>
        <w:rPr>
          <w:rFonts w:cs="仿宋_GB2312"/>
        </w:rPr>
      </w:pPr>
      <w:r>
        <w:rPr>
          <w:rFonts w:hint="eastAsia" w:cs="仿宋_GB2312"/>
        </w:rPr>
        <w:t>资金使用合规性指标分值4分，得分为4分。经现场勘查及核查项目资料、会计凭证，省委编</w:t>
      </w:r>
      <w:r>
        <w:rPr>
          <w:rFonts w:cs="仿宋_GB2312"/>
        </w:rPr>
        <w:t>办</w:t>
      </w:r>
      <w:r>
        <w:rPr>
          <w:rFonts w:hint="eastAsia" w:cs="仿宋_GB2312"/>
        </w:rPr>
        <w:t>严格落实《中共甘肃省委机构编制委员会办公室财务管理制度》相关规定及工作要求，省委编</w:t>
      </w:r>
      <w:r>
        <w:rPr>
          <w:rFonts w:cs="仿宋_GB2312"/>
        </w:rPr>
        <w:t>办</w:t>
      </w:r>
      <w:r>
        <w:rPr>
          <w:rFonts w:hint="eastAsia" w:cs="仿宋_GB2312"/>
        </w:rPr>
        <w:t>2020年专项业务费的支出、使用按照相关财经法律法规制度的规定以及国家有关财务管理制度和办法进行核算，资金的使用和支出具有完整的审批程序和报销手续，资金使用符合年度目标任务的用途，不存在截留、挤占、挪用、虚列支出等情况。</w:t>
      </w:r>
    </w:p>
    <w:p>
      <w:pPr>
        <w:spacing w:line="360" w:lineRule="auto"/>
        <w:rPr>
          <w:rFonts w:cs="仿宋_GB2312"/>
        </w:rPr>
      </w:pPr>
      <w:r>
        <w:rPr>
          <w:rFonts w:hint="eastAsia" w:cs="仿宋_GB2312"/>
        </w:rPr>
        <w:t>根据指标体系评分标准，省委编</w:t>
      </w:r>
      <w:r>
        <w:rPr>
          <w:rFonts w:cs="仿宋_GB2312"/>
        </w:rPr>
        <w:t>办</w:t>
      </w:r>
      <w:r>
        <w:rPr>
          <w:rFonts w:hint="eastAsia" w:cs="仿宋_GB2312"/>
        </w:rPr>
        <w:t>2020年专项业务费使用合规。指标得分4分。</w:t>
      </w:r>
    </w:p>
    <w:p>
      <w:pPr>
        <w:spacing w:line="360" w:lineRule="auto"/>
        <w:ind w:firstLine="643"/>
        <w:rPr>
          <w:rFonts w:cs="仿宋_GB2312"/>
          <w:b/>
          <w:szCs w:val="32"/>
        </w:rPr>
      </w:pPr>
      <w:r>
        <w:rPr>
          <w:rFonts w:hint="eastAsia" w:cs="仿宋_GB2312"/>
          <w:b/>
          <w:szCs w:val="32"/>
        </w:rPr>
        <w:t>（4）会计信息质量（4分）</w:t>
      </w:r>
    </w:p>
    <w:p>
      <w:pPr>
        <w:spacing w:line="360" w:lineRule="auto"/>
        <w:rPr>
          <w:rFonts w:cs="仿宋_GB2312"/>
        </w:rPr>
      </w:pPr>
      <w:r>
        <w:rPr>
          <w:rFonts w:hint="eastAsia" w:cs="仿宋_GB2312"/>
          <w:szCs w:val="32"/>
        </w:rPr>
        <w:t>会计信息质量指标分值4分，指标得分4分。</w:t>
      </w:r>
      <w:r>
        <w:rPr>
          <w:rFonts w:hint="eastAsia" w:cs="仿宋_GB2312"/>
        </w:rPr>
        <w:t>根据省委编</w:t>
      </w:r>
      <w:r>
        <w:rPr>
          <w:rFonts w:cs="仿宋_GB2312"/>
        </w:rPr>
        <w:t>办</w:t>
      </w:r>
      <w:r>
        <w:rPr>
          <w:rFonts w:hint="eastAsia" w:cs="仿宋_GB2312"/>
        </w:rPr>
        <w:t>提供的2020年专项业务费项目财务记账凭证及资金支出明细账等资料，省委编</w:t>
      </w:r>
      <w:r>
        <w:rPr>
          <w:rFonts w:cs="仿宋_GB2312"/>
        </w:rPr>
        <w:t>办</w:t>
      </w:r>
      <w:r>
        <w:rPr>
          <w:rFonts w:hint="eastAsia" w:cs="仿宋_GB2312"/>
        </w:rPr>
        <w:t>严格按照《中华人民共和国会计法》和《中共甘肃省委机构编制委员会办公室财务管理制度》对专项资金进行单独核算，核算内容真实、准确、规范，会计凭证完整、齐全。</w:t>
      </w:r>
    </w:p>
    <w:p>
      <w:pPr>
        <w:spacing w:line="360" w:lineRule="auto"/>
        <w:rPr>
          <w:rFonts w:cs="仿宋_GB2312"/>
        </w:rPr>
      </w:pPr>
      <w:r>
        <w:rPr>
          <w:rFonts w:hint="eastAsia" w:cs="仿宋_GB2312"/>
        </w:rPr>
        <w:t>根据指标体系评分标准，省委编</w:t>
      </w:r>
      <w:r>
        <w:rPr>
          <w:rFonts w:cs="仿宋_GB2312"/>
        </w:rPr>
        <w:t>办</w:t>
      </w:r>
      <w:r>
        <w:rPr>
          <w:rFonts w:hint="eastAsia" w:cs="仿宋_GB2312"/>
        </w:rPr>
        <w:t>2020年专项业务费项目</w:t>
      </w:r>
      <w:r>
        <w:rPr>
          <w:rFonts w:hint="eastAsia" w:cs="仿宋_GB2312"/>
          <w:szCs w:val="32"/>
        </w:rPr>
        <w:t>资金核算规范，符合行业要求；财务会计信息真实、完整、凭证齐全。指标得分4分。</w:t>
      </w:r>
    </w:p>
    <w:p>
      <w:pPr>
        <w:spacing w:line="360" w:lineRule="auto"/>
        <w:ind w:firstLine="643"/>
        <w:rPr>
          <w:b/>
          <w:bCs/>
        </w:rPr>
      </w:pPr>
      <w:r>
        <w:rPr>
          <w:rFonts w:hint="eastAsia"/>
          <w:b/>
          <w:bCs/>
        </w:rPr>
        <w:t>2.组织实施（</w:t>
      </w:r>
      <w:r>
        <w:rPr>
          <w:b/>
          <w:bCs/>
        </w:rPr>
        <w:t>8</w:t>
      </w:r>
      <w:r>
        <w:rPr>
          <w:rFonts w:hint="eastAsia"/>
          <w:b/>
          <w:bCs/>
        </w:rPr>
        <w:t>分）（-2分）</w:t>
      </w:r>
    </w:p>
    <w:p>
      <w:pPr>
        <w:spacing w:line="360" w:lineRule="auto"/>
        <w:rPr>
          <w:rFonts w:cs="仿宋_GB2312"/>
        </w:rPr>
      </w:pPr>
      <w:r>
        <w:rPr>
          <w:rFonts w:hint="eastAsia" w:cs="仿宋_GB2312"/>
        </w:rPr>
        <w:t>组织实施指标分值10分，得分为8分。经现场勘查，省委编</w:t>
      </w:r>
      <w:r>
        <w:rPr>
          <w:rFonts w:cs="仿宋_GB2312"/>
        </w:rPr>
        <w:t>办</w:t>
      </w:r>
      <w:r>
        <w:rPr>
          <w:rFonts w:hint="eastAsia" w:cs="仿宋_GB2312"/>
        </w:rPr>
        <w:t>2020年专项业务费项目管理制度和财务管理制度健全且管理规范，政府采购合规，基本保障了项目的顺利实施。但部分项目资料未做归档整理，档案资料不完整，管理欠规范。</w:t>
      </w:r>
    </w:p>
    <w:p>
      <w:pPr>
        <w:spacing w:line="360" w:lineRule="auto"/>
        <w:ind w:left="640" w:leftChars="200" w:firstLine="0" w:firstLineChars="0"/>
        <w:rPr>
          <w:rFonts w:cs="仿宋_GB2312"/>
          <w:b/>
          <w:szCs w:val="32"/>
        </w:rPr>
      </w:pPr>
      <w:r>
        <w:rPr>
          <w:rFonts w:hint="eastAsia" w:cs="仿宋_GB2312"/>
          <w:b/>
          <w:szCs w:val="32"/>
        </w:rPr>
        <w:t>（1）</w:t>
      </w:r>
      <w:r>
        <w:rPr>
          <w:rFonts w:cs="仿宋_GB2312"/>
          <w:b/>
          <w:szCs w:val="32"/>
        </w:rPr>
        <w:t>管理制度健全性</w:t>
      </w:r>
      <w:r>
        <w:rPr>
          <w:rFonts w:hint="eastAsia" w:cs="仿宋_GB2312"/>
          <w:b/>
          <w:szCs w:val="32"/>
        </w:rPr>
        <w:t>（2分）</w:t>
      </w:r>
    </w:p>
    <w:p>
      <w:pPr>
        <w:spacing w:line="360" w:lineRule="auto"/>
        <w:rPr>
          <w:rFonts w:cs="仿宋_GB2312"/>
        </w:rPr>
      </w:pPr>
      <w:r>
        <w:rPr>
          <w:rFonts w:cs="仿宋_GB2312"/>
        </w:rPr>
        <w:t>管理制度健全性</w:t>
      </w:r>
      <w:r>
        <w:rPr>
          <w:rFonts w:hint="eastAsia" w:cs="仿宋_GB2312"/>
        </w:rPr>
        <w:t>指标分值2分，得分为2分。经现场勘查，省委编</w:t>
      </w:r>
      <w:r>
        <w:rPr>
          <w:rFonts w:cs="仿宋_GB2312"/>
        </w:rPr>
        <w:t>办</w:t>
      </w:r>
      <w:r>
        <w:rPr>
          <w:rFonts w:hint="eastAsia" w:cs="仿宋_GB2312"/>
        </w:rPr>
        <w:t>制定了《中共甘肃省委机构编制委员会办公室项目管理制度》，明确了项目立项、招标、实施、监督、验收等规范流程；制定了《中共甘肃省委机构编制委员会办公室财务管理制度》，内容包括了财务管理、拨付审批流程、账务处理、资产管理、采购管理等，管理制度符合财务会计制度规定，具备可操作性</w:t>
      </w:r>
    </w:p>
    <w:p>
      <w:pPr>
        <w:spacing w:line="360" w:lineRule="auto"/>
        <w:rPr>
          <w:rFonts w:cs="仿宋_GB2312"/>
        </w:rPr>
      </w:pPr>
      <w:r>
        <w:rPr>
          <w:rFonts w:hint="eastAsia" w:cs="仿宋_GB2312"/>
        </w:rPr>
        <w:t>根据指标体系评分标准，项目实施制定或具有相应的项目管理制度和财务管理制度，管理制度合法、合规、完整。指标得分2分。</w:t>
      </w:r>
    </w:p>
    <w:p>
      <w:pPr>
        <w:spacing w:line="360" w:lineRule="auto"/>
        <w:ind w:left="640" w:leftChars="200" w:firstLine="0" w:firstLineChars="0"/>
        <w:rPr>
          <w:rFonts w:cs="仿宋_GB2312"/>
          <w:b/>
          <w:szCs w:val="32"/>
        </w:rPr>
      </w:pPr>
      <w:r>
        <w:rPr>
          <w:rFonts w:hint="eastAsia" w:cs="仿宋_GB2312"/>
          <w:b/>
          <w:szCs w:val="32"/>
        </w:rPr>
        <w:t>（2）</w:t>
      </w:r>
      <w:r>
        <w:rPr>
          <w:rFonts w:cs="仿宋_GB2312"/>
          <w:b/>
          <w:szCs w:val="32"/>
        </w:rPr>
        <w:t>制度执行有效性</w:t>
      </w:r>
      <w:r>
        <w:rPr>
          <w:rFonts w:hint="eastAsia" w:cs="仿宋_GB2312"/>
          <w:b/>
          <w:szCs w:val="32"/>
        </w:rPr>
        <w:t>（3分）</w:t>
      </w:r>
    </w:p>
    <w:p>
      <w:pPr>
        <w:spacing w:line="360" w:lineRule="auto"/>
        <w:rPr>
          <w:rFonts w:cs="仿宋_GB2312"/>
        </w:rPr>
      </w:pPr>
      <w:r>
        <w:rPr>
          <w:rFonts w:cs="仿宋_GB2312"/>
        </w:rPr>
        <w:t>制度执行有效性</w:t>
      </w:r>
      <w:r>
        <w:rPr>
          <w:rFonts w:hint="eastAsia" w:cs="仿宋_GB2312"/>
        </w:rPr>
        <w:t>指标分值3分，得分为3分。经现场勘查及核查项目资料，省委编</w:t>
      </w:r>
      <w:r>
        <w:rPr>
          <w:rFonts w:cs="仿宋_GB2312"/>
        </w:rPr>
        <w:t>办</w:t>
      </w:r>
      <w:r>
        <w:rPr>
          <w:rFonts w:hint="eastAsia" w:cs="仿宋_GB2312"/>
        </w:rPr>
        <w:t>遵守相关法律法规和相关管理规定，严格执行《中共甘肃省委机构编制委员会办公室项目管理制度》和《中共甘肃省委机构编制委员会办公室财务管理制度》，项目管理、财务管理、资产管理、采购管理均按相关法律法规和管理制度执行，机房运行维护、网络群系统运行维护、办公区域（终端）设备运行维护服务机构均</w:t>
      </w:r>
      <w:r>
        <w:rPr>
          <w:rFonts w:hint="eastAsia" w:cs="仿宋_GB2312"/>
          <w:szCs w:val="32"/>
        </w:rPr>
        <w:t>通过公开招标和自行询价采购的方式确定，</w:t>
      </w:r>
      <w:r>
        <w:rPr>
          <w:rFonts w:hint="eastAsia" w:cs="仿宋_GB2312"/>
        </w:rPr>
        <w:t>且在维修工作完成后采取了质量检查、验收等必需的控制措施。</w:t>
      </w:r>
    </w:p>
    <w:p>
      <w:pPr>
        <w:spacing w:line="360" w:lineRule="auto"/>
        <w:ind w:left="640" w:leftChars="200" w:firstLine="0" w:firstLineChars="0"/>
        <w:rPr>
          <w:rFonts w:cs="仿宋_GB2312"/>
        </w:rPr>
      </w:pPr>
      <w:r>
        <w:rPr>
          <w:rFonts w:hint="eastAsia" w:cs="仿宋_GB2312"/>
        </w:rPr>
        <w:t>根据指标体系评分标准，项目实施遵守相关法律法规和业务管理规定，各项制度执行到位。指标得分3分。</w:t>
      </w:r>
    </w:p>
    <w:p>
      <w:pPr>
        <w:spacing w:line="360" w:lineRule="auto"/>
        <w:ind w:left="640" w:leftChars="200" w:firstLine="0" w:firstLineChars="0"/>
        <w:rPr>
          <w:rFonts w:cs="仿宋_GB2312"/>
          <w:b/>
          <w:szCs w:val="32"/>
        </w:rPr>
      </w:pPr>
      <w:r>
        <w:rPr>
          <w:rFonts w:hint="eastAsia" w:cs="仿宋_GB2312"/>
          <w:b/>
          <w:szCs w:val="32"/>
        </w:rPr>
        <w:t>（3）采购管理合规</w:t>
      </w:r>
      <w:r>
        <w:rPr>
          <w:rFonts w:cs="仿宋_GB2312"/>
          <w:b/>
          <w:szCs w:val="32"/>
        </w:rPr>
        <w:t>性</w:t>
      </w:r>
      <w:r>
        <w:rPr>
          <w:rFonts w:hint="eastAsia" w:cs="仿宋_GB2312"/>
          <w:b/>
          <w:szCs w:val="32"/>
        </w:rPr>
        <w:t>（3分）</w:t>
      </w:r>
    </w:p>
    <w:p>
      <w:pPr>
        <w:spacing w:line="360" w:lineRule="auto"/>
        <w:rPr>
          <w:rFonts w:cs="仿宋_GB2312"/>
        </w:rPr>
      </w:pPr>
      <w:r>
        <w:rPr>
          <w:rFonts w:cs="仿宋_GB2312"/>
        </w:rPr>
        <w:t>采购管理合规性</w:t>
      </w:r>
      <w:r>
        <w:rPr>
          <w:rFonts w:hint="eastAsia" w:cs="仿宋_GB2312"/>
        </w:rPr>
        <w:t>指标分值3分，得分为3分。经现场勘查及核查项目资料，省委编</w:t>
      </w:r>
      <w:r>
        <w:rPr>
          <w:rFonts w:cs="仿宋_GB2312"/>
        </w:rPr>
        <w:t>办</w:t>
      </w:r>
      <w:r>
        <w:rPr>
          <w:rFonts w:hint="eastAsia" w:cs="仿宋_GB2312"/>
        </w:rPr>
        <w:t>对机构编制实名制管理系统升级改造进行了公开招标采购，政府采购申请合规、政府采购计划备案规范、采购信息发布规范及时，整个采购流程规范。信息化系统运行维护</w:t>
      </w:r>
      <w:r>
        <w:rPr>
          <w:rFonts w:hint="eastAsia" w:cs="仿宋_GB2312"/>
          <w:szCs w:val="32"/>
        </w:rPr>
        <w:t>通过自行询价采购的方式进行采购，在</w:t>
      </w:r>
      <w:r>
        <w:rPr>
          <w:rFonts w:hint="eastAsia" w:cs="仿宋_GB2312"/>
        </w:rPr>
        <w:t>甘肃机构编制网上发布了询价采购公告，采购信息发布规范及时，经评标小组确定评标结果后又在网上进行了公示，自行询价采购流程规范合理，采购过程公开、公正。</w:t>
      </w:r>
    </w:p>
    <w:p>
      <w:pPr>
        <w:spacing w:line="360" w:lineRule="auto"/>
      </w:pPr>
      <w:r>
        <w:rPr>
          <w:rFonts w:hint="eastAsia" w:cs="仿宋_GB2312"/>
        </w:rPr>
        <w:t>根据指标体系评分标准，省委编</w:t>
      </w:r>
      <w:r>
        <w:rPr>
          <w:rFonts w:cs="仿宋_GB2312"/>
        </w:rPr>
        <w:t>办</w:t>
      </w:r>
      <w:r>
        <w:rPr>
          <w:rFonts w:hint="eastAsia" w:cs="仿宋_GB2312"/>
        </w:rPr>
        <w:t>2020年专项业务费项目采购申请规范，采购信息发布规范及时，采购流程规范。指标得分3分。</w:t>
      </w:r>
    </w:p>
    <w:p>
      <w:pPr>
        <w:spacing w:line="360" w:lineRule="auto"/>
        <w:ind w:left="640" w:leftChars="200" w:firstLine="0" w:firstLineChars="0"/>
        <w:rPr>
          <w:rFonts w:cs="仿宋_GB2312"/>
          <w:b/>
          <w:szCs w:val="32"/>
        </w:rPr>
      </w:pPr>
      <w:r>
        <w:rPr>
          <w:rFonts w:hint="eastAsia" w:cs="仿宋_GB2312"/>
          <w:b/>
          <w:szCs w:val="32"/>
        </w:rPr>
        <w:t>（4）档案管理规范性（</w:t>
      </w:r>
      <w:r>
        <w:rPr>
          <w:rFonts w:cs="仿宋_GB2312"/>
          <w:b/>
          <w:szCs w:val="32"/>
        </w:rPr>
        <w:t>1</w:t>
      </w:r>
      <w:r>
        <w:rPr>
          <w:rFonts w:hint="eastAsia" w:cs="仿宋_GB2312"/>
          <w:b/>
          <w:szCs w:val="32"/>
        </w:rPr>
        <w:t>分）（-2分）</w:t>
      </w:r>
    </w:p>
    <w:p>
      <w:pPr>
        <w:spacing w:line="360" w:lineRule="auto"/>
        <w:rPr>
          <w:rFonts w:cs="仿宋_GB2312"/>
        </w:rPr>
      </w:pPr>
      <w:r>
        <w:rPr>
          <w:rFonts w:hint="eastAsia" w:cs="仿宋_GB2312"/>
        </w:rPr>
        <w:t>档案管理规范性指标分值3分，得分为1分。根据对省委编</w:t>
      </w:r>
      <w:r>
        <w:rPr>
          <w:rFonts w:cs="仿宋_GB2312"/>
        </w:rPr>
        <w:t>办</w:t>
      </w:r>
      <w:r>
        <w:rPr>
          <w:rFonts w:hint="eastAsia" w:cs="仿宋_GB2312"/>
        </w:rPr>
        <w:t>提供的项目档案资料的核查，省委编</w:t>
      </w:r>
      <w:r>
        <w:rPr>
          <w:rFonts w:cs="仿宋_GB2312"/>
        </w:rPr>
        <w:t>办</w:t>
      </w:r>
      <w:r>
        <w:rPr>
          <w:rFonts w:hint="eastAsia" w:cs="仿宋_GB2312"/>
        </w:rPr>
        <w:t>制定有《中共甘肃省委机构编制委员会办公室项目管理制度》，管理制度对项目档案管理做了相关要求，制度规定设专人对项目资料进行梳理、归档、保管。但项目管理档案还不够完善，会议培训及考察调研档案不完整，管理欠规范。</w:t>
      </w:r>
    </w:p>
    <w:p>
      <w:pPr>
        <w:spacing w:line="360" w:lineRule="auto"/>
        <w:rPr>
          <w:rFonts w:cs="仿宋_GB2312"/>
          <w:b/>
          <w:szCs w:val="32"/>
        </w:rPr>
      </w:pPr>
      <w:r>
        <w:rPr>
          <w:rFonts w:hint="eastAsia" w:cs="仿宋_GB2312"/>
        </w:rPr>
        <w:t>根据指标体系评分标准，省委编</w:t>
      </w:r>
      <w:r>
        <w:rPr>
          <w:rFonts w:cs="仿宋_GB2312"/>
        </w:rPr>
        <w:t>办</w:t>
      </w:r>
      <w:r>
        <w:rPr>
          <w:rFonts w:hint="eastAsia" w:cs="仿宋_GB2312"/>
        </w:rPr>
        <w:t>制定了档案管理制度，建立项目档案，得1分；但项目部分资料未做归档整理，档案资料不完整，管理欠规范，扣2分。指标综合得分为1分。</w:t>
      </w:r>
    </w:p>
    <w:p>
      <w:pPr>
        <w:pStyle w:val="4"/>
        <w:keepNext w:val="0"/>
        <w:keepLines w:val="0"/>
        <w:spacing w:line="360" w:lineRule="auto"/>
        <w:ind w:firstLine="643"/>
        <w:rPr>
          <w:rFonts w:ascii="楷体" w:hAnsi="楷体" w:eastAsia="楷体" w:cs="仿宋_GB2312"/>
          <w:bCs/>
          <w:szCs w:val="32"/>
        </w:rPr>
      </w:pPr>
      <w:bookmarkStart w:id="64" w:name="_Toc31978"/>
      <w:r>
        <w:rPr>
          <w:rFonts w:hint="eastAsia" w:ascii="楷体" w:hAnsi="楷体" w:eastAsia="楷体" w:cs="楷体"/>
        </w:rPr>
        <w:fldChar w:fldCharType="begin"/>
      </w:r>
      <w:r>
        <w:rPr>
          <w:rFonts w:hint="eastAsia" w:ascii="楷体" w:hAnsi="楷体" w:eastAsia="楷体" w:cs="楷体"/>
        </w:rPr>
        <w:instrText xml:space="preserve"> HYPERLINK \l "_Toc32280" </w:instrText>
      </w:r>
      <w:r>
        <w:rPr>
          <w:rFonts w:hint="eastAsia" w:ascii="楷体" w:hAnsi="楷体" w:eastAsia="楷体" w:cs="楷体"/>
        </w:rPr>
        <w:fldChar w:fldCharType="separate"/>
      </w:r>
      <w:r>
        <w:rPr>
          <w:rFonts w:hint="eastAsia" w:ascii="楷体" w:hAnsi="楷体" w:eastAsia="楷体" w:cs="楷体"/>
        </w:rPr>
        <w:t>（三）项目产出</w:t>
      </w:r>
      <w:r>
        <w:rPr>
          <w:rFonts w:hint="eastAsia" w:ascii="楷体" w:hAnsi="楷体" w:eastAsia="楷体" w:cs="楷体"/>
        </w:rPr>
        <w:fldChar w:fldCharType="end"/>
      </w:r>
      <w:r>
        <w:rPr>
          <w:rFonts w:hint="eastAsia" w:ascii="楷体" w:hAnsi="楷体" w:eastAsia="楷体" w:cs="楷体"/>
        </w:rPr>
        <w:t>情况</w:t>
      </w:r>
      <w:bookmarkEnd w:id="64"/>
    </w:p>
    <w:p>
      <w:pPr>
        <w:spacing w:line="360" w:lineRule="auto"/>
        <w:rPr>
          <w:rFonts w:cs="仿宋_GB2312"/>
        </w:rPr>
      </w:pPr>
      <w:r>
        <w:rPr>
          <w:rFonts w:hint="eastAsia" w:cs="仿宋_GB2312"/>
        </w:rPr>
        <w:t>省委编</w:t>
      </w:r>
      <w:r>
        <w:rPr>
          <w:rFonts w:cs="仿宋_GB2312"/>
        </w:rPr>
        <w:t>办</w:t>
      </w:r>
      <w:r>
        <w:rPr>
          <w:rFonts w:hint="eastAsia" w:cs="仿宋_GB2312"/>
        </w:rPr>
        <w:t>2020年专项业务费项目绩效评价产出类指标分别从</w:t>
      </w:r>
      <w:r>
        <w:rPr>
          <w:rFonts w:hint="eastAsia"/>
        </w:rPr>
        <w:t>产出数量、产出质量、产出时效和产出成本四个方面进行绩效分析</w:t>
      </w:r>
      <w:r>
        <w:rPr>
          <w:rFonts w:hint="eastAsia" w:cs="仿宋_GB2312"/>
        </w:rPr>
        <w:t>。各项指标具体得分情况如下表所示：</w:t>
      </w:r>
    </w:p>
    <w:tbl>
      <w:tblPr>
        <w:tblStyle w:val="1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64"/>
        <w:gridCol w:w="2073"/>
        <w:gridCol w:w="3375"/>
        <w:gridCol w:w="9"/>
        <w:gridCol w:w="11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tcBorders>
              <w:top w:val="nil"/>
              <w:left w:val="nil"/>
              <w:bottom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bCs/>
                <w:sz w:val="28"/>
                <w:szCs w:val="28"/>
              </w:rPr>
              <w:t>表5  产出类各项指标绩效评价</w:t>
            </w:r>
            <w:r>
              <w:rPr>
                <w:rFonts w:hint="eastAsia" w:ascii="宋体" w:hAnsi="宋体" w:eastAsia="宋体" w:cs="宋体"/>
                <w:b/>
                <w:sz w:val="28"/>
                <w:szCs w:val="28"/>
              </w:rPr>
              <w:t>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tcBorders>
              <w:top w:val="double" w:color="000000" w:sz="4" w:space="0"/>
              <w:lef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一级指标</w:t>
            </w:r>
          </w:p>
        </w:tc>
        <w:tc>
          <w:tcPr>
            <w:tcW w:w="1216" w:type="pct"/>
            <w:tcBorders>
              <w:top w:val="double" w:color="000000" w:sz="4" w:space="0"/>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二级指标</w:t>
            </w:r>
          </w:p>
        </w:tc>
        <w:tc>
          <w:tcPr>
            <w:tcW w:w="1980" w:type="pct"/>
            <w:tcBorders>
              <w:top w:val="double" w:color="000000" w:sz="4" w:space="0"/>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三级指标</w:t>
            </w:r>
          </w:p>
        </w:tc>
        <w:tc>
          <w:tcPr>
            <w:tcW w:w="650" w:type="pct"/>
            <w:gridSpan w:val="2"/>
            <w:tcBorders>
              <w:top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restart"/>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产出</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得分率：99.73%</w:t>
            </w:r>
          </w:p>
        </w:tc>
        <w:tc>
          <w:tcPr>
            <w:tcW w:w="1216" w:type="pct"/>
            <w:vMerge w:val="restart"/>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产出数量</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得分率：100%</w:t>
            </w:r>
          </w:p>
        </w:tc>
        <w:tc>
          <w:tcPr>
            <w:tcW w:w="1980" w:type="pct"/>
            <w:shd w:val="clear" w:color="auto" w:fill="auto"/>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系统升级改造完成率</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continue"/>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980" w:type="pct"/>
            <w:shd w:val="clear" w:color="auto" w:fill="auto"/>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培训任务完成率</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continue"/>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980" w:type="pct"/>
            <w:shd w:val="clear" w:color="auto" w:fill="auto"/>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考察调研任务完成率</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continue"/>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980" w:type="pct"/>
            <w:shd w:val="clear" w:color="auto" w:fill="auto"/>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机构改革任务完成率</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restart"/>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产出质量</w:t>
            </w:r>
          </w:p>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得分率：99.17%</w:t>
            </w:r>
          </w:p>
        </w:tc>
        <w:tc>
          <w:tcPr>
            <w:tcW w:w="1980" w:type="pct"/>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实名制管理覆盖率</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1980" w:type="pct"/>
            <w:shd w:val="clear" w:color="auto" w:fill="auto"/>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信息化系统正常运行率</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1980" w:type="pct"/>
            <w:shd w:val="clear" w:color="auto" w:fill="auto"/>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维修（护）质量达标率</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1980" w:type="pct"/>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培训覆盖率</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1980" w:type="pct"/>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考察调研覆盖率</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restart"/>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产出时效</w:t>
            </w:r>
          </w:p>
          <w:p>
            <w:pPr>
              <w:spacing w:line="240" w:lineRule="auto"/>
              <w:ind w:firstLine="0" w:firstLineChars="0"/>
              <w:jc w:val="center"/>
              <w:rPr>
                <w:rFonts w:ascii="宋体" w:hAnsi="宋体" w:eastAsia="宋体" w:cs="宋体"/>
                <w:bCs/>
                <w:sz w:val="24"/>
                <w:szCs w:val="22"/>
              </w:rPr>
            </w:pPr>
            <w:r>
              <w:rPr>
                <w:rFonts w:hint="eastAsia" w:ascii="宋体" w:hAnsi="宋体" w:eastAsia="宋体" w:cs="宋体"/>
                <w:bCs/>
                <w:sz w:val="24"/>
                <w:szCs w:val="22"/>
              </w:rPr>
              <w:t>得分率：100%</w:t>
            </w:r>
          </w:p>
        </w:tc>
        <w:tc>
          <w:tcPr>
            <w:tcW w:w="1980" w:type="pct"/>
            <w:shd w:val="clear" w:color="auto" w:fill="auto"/>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系统升级维护及时性</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1980" w:type="pct"/>
            <w:shd w:val="clear" w:color="auto" w:fill="auto"/>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会议培训及时性</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vMerge w:val="continue"/>
            <w:shd w:val="clear" w:color="auto" w:fill="auto"/>
            <w:vAlign w:val="center"/>
          </w:tcPr>
          <w:p>
            <w:pPr>
              <w:spacing w:line="240" w:lineRule="auto"/>
              <w:ind w:firstLine="0" w:firstLineChars="0"/>
              <w:jc w:val="center"/>
              <w:rPr>
                <w:rFonts w:ascii="宋体" w:hAnsi="宋体" w:eastAsia="宋体" w:cs="宋体"/>
                <w:bCs/>
                <w:sz w:val="24"/>
                <w:szCs w:val="22"/>
              </w:rPr>
            </w:pPr>
          </w:p>
        </w:tc>
        <w:tc>
          <w:tcPr>
            <w:tcW w:w="1980" w:type="pct"/>
            <w:shd w:val="clear" w:color="auto" w:fill="auto"/>
            <w:vAlign w:val="center"/>
          </w:tcPr>
          <w:p>
            <w:pPr>
              <w:spacing w:line="240" w:lineRule="auto"/>
              <w:ind w:firstLine="0" w:firstLineChars="0"/>
              <w:jc w:val="center"/>
              <w:rPr>
                <w:rFonts w:ascii="宋体" w:hAnsi="宋体" w:eastAsia="宋体" w:cs="宋体"/>
                <w:kern w:val="0"/>
                <w:sz w:val="24"/>
              </w:rPr>
            </w:pPr>
            <w:r>
              <w:rPr>
                <w:rFonts w:hint="eastAsia" w:ascii="宋体" w:hAnsi="宋体" w:eastAsia="宋体" w:cs="宋体"/>
                <w:kern w:val="0"/>
                <w:sz w:val="24"/>
              </w:rPr>
              <w:t>用电保障及时性</w:t>
            </w:r>
          </w:p>
        </w:tc>
        <w:tc>
          <w:tcPr>
            <w:tcW w:w="650" w:type="pct"/>
            <w:gridSpan w:val="2"/>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53" w:type="pct"/>
            <w:vMerge w:val="continue"/>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u w:val="single"/>
              </w:rPr>
            </w:pPr>
          </w:p>
        </w:tc>
        <w:tc>
          <w:tcPr>
            <w:tcW w:w="1216" w:type="pct"/>
            <w:shd w:val="clear" w:color="auto" w:fill="auto"/>
            <w:vAlign w:val="center"/>
          </w:tcPr>
          <w:p>
            <w:pPr>
              <w:spacing w:line="240" w:lineRule="auto"/>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产出成本</w:t>
            </w:r>
          </w:p>
          <w:p>
            <w:pPr>
              <w:spacing w:line="240" w:lineRule="auto"/>
              <w:ind w:firstLine="0" w:firstLineChars="0"/>
              <w:jc w:val="center"/>
              <w:rPr>
                <w:rFonts w:ascii="宋体" w:hAnsi="宋体" w:eastAsia="宋体" w:cs="宋体"/>
                <w:bCs/>
                <w:sz w:val="24"/>
                <w:szCs w:val="22"/>
              </w:rPr>
            </w:pPr>
            <w:r>
              <w:rPr>
                <w:rFonts w:hint="eastAsia" w:ascii="宋体" w:hAnsi="宋体" w:eastAsia="宋体" w:cs="宋体"/>
                <w:bCs/>
                <w:sz w:val="24"/>
                <w:szCs w:val="22"/>
              </w:rPr>
              <w:t>得分率：100%</w:t>
            </w:r>
          </w:p>
        </w:tc>
        <w:tc>
          <w:tcPr>
            <w:tcW w:w="1984" w:type="pct"/>
            <w:gridSpan w:val="2"/>
            <w:shd w:val="clear" w:color="auto" w:fill="auto"/>
            <w:vAlign w:val="center"/>
          </w:tcPr>
          <w:p>
            <w:pPr>
              <w:spacing w:line="240" w:lineRule="auto"/>
              <w:ind w:firstLine="0" w:firstLineChars="0"/>
              <w:jc w:val="center"/>
              <w:rPr>
                <w:rFonts w:ascii="宋体" w:hAnsi="宋体" w:eastAsia="宋体" w:cs="宋体"/>
                <w:bCs/>
                <w:sz w:val="24"/>
                <w:szCs w:val="22"/>
              </w:rPr>
            </w:pPr>
            <w:r>
              <w:rPr>
                <w:rFonts w:hint="eastAsia" w:ascii="宋体" w:hAnsi="宋体" w:eastAsia="宋体" w:cs="宋体"/>
                <w:kern w:val="0"/>
                <w:sz w:val="24"/>
              </w:rPr>
              <w:t>预算成本控制</w:t>
            </w:r>
          </w:p>
        </w:tc>
        <w:tc>
          <w:tcPr>
            <w:tcW w:w="645" w:type="pct"/>
            <w:tcBorders>
              <w:right w:val="nil"/>
            </w:tcBorders>
            <w:shd w:val="clear" w:color="auto" w:fill="auto"/>
            <w:vAlign w:val="center"/>
          </w:tcPr>
          <w:p>
            <w:pPr>
              <w:adjustRightInd w:val="0"/>
              <w:snapToGrid w:val="0"/>
              <w:spacing w:line="240" w:lineRule="auto"/>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354" w:type="pct"/>
            <w:gridSpan w:val="4"/>
            <w:tcBorders>
              <w:lef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“产出”情况评级</w:t>
            </w:r>
          </w:p>
        </w:tc>
        <w:tc>
          <w:tcPr>
            <w:tcW w:w="645" w:type="pct"/>
            <w:tcBorders>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sz w:val="24"/>
                <w:szCs w:val="2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7" w:hRule="atLeast"/>
          <w:jc w:val="center"/>
        </w:trPr>
        <w:tc>
          <w:tcPr>
            <w:tcW w:w="5000" w:type="pct"/>
            <w:gridSpan w:val="5"/>
            <w:tcBorders>
              <w:left w:val="nil"/>
              <w:bottom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drawing>
                <wp:inline distT="0" distB="0" distL="114300" distR="114300">
                  <wp:extent cx="4572000" cy="3114675"/>
                  <wp:effectExtent l="4445" t="4445" r="14605" b="5080"/>
                  <wp:docPr id="1229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bl>
    <w:p>
      <w:pPr>
        <w:spacing w:line="360" w:lineRule="auto"/>
        <w:ind w:firstLine="643"/>
        <w:rPr>
          <w:rFonts w:cs="仿宋_GB2312"/>
          <w:b/>
          <w:bCs/>
          <w:szCs w:val="32"/>
        </w:rPr>
      </w:pPr>
      <w:r>
        <w:rPr>
          <w:rFonts w:hint="eastAsia" w:cs="仿宋_GB2312"/>
          <w:b/>
          <w:bCs/>
          <w:szCs w:val="32"/>
        </w:rPr>
        <w:t>1.产出数量（17分）（17分）</w:t>
      </w:r>
    </w:p>
    <w:p>
      <w:pPr>
        <w:spacing w:line="360" w:lineRule="auto"/>
        <w:rPr>
          <w:rFonts w:cs="仿宋_GB2312"/>
          <w:szCs w:val="32"/>
        </w:rPr>
      </w:pPr>
      <w:r>
        <w:rPr>
          <w:rFonts w:hint="eastAsia" w:cs="仿宋_GB2312"/>
          <w:szCs w:val="32"/>
        </w:rPr>
        <w:t>产出数量指标分值17分，得分为17分。</w:t>
      </w:r>
      <w:r>
        <w:rPr>
          <w:rFonts w:hint="eastAsia" w:cs="仿宋_GB2312"/>
        </w:rPr>
        <w:t>省委编</w:t>
      </w:r>
      <w:r>
        <w:rPr>
          <w:rFonts w:cs="仿宋_GB2312"/>
        </w:rPr>
        <w:t>办</w:t>
      </w:r>
      <w:r>
        <w:rPr>
          <w:rFonts w:hint="eastAsia" w:cs="仿宋_GB2312"/>
          <w:szCs w:val="32"/>
        </w:rPr>
        <w:t>2020年专项业务费项目系统升级改造完成率、培训任务完成率、考察调研任务完成率、机构改革任务完成率等产出数量指标均达到预期目标。</w:t>
      </w:r>
    </w:p>
    <w:p>
      <w:pPr>
        <w:spacing w:line="360" w:lineRule="auto"/>
        <w:ind w:firstLine="643"/>
        <w:rPr>
          <w:rFonts w:cs="仿宋_GB2312"/>
          <w:b/>
          <w:bCs/>
          <w:szCs w:val="32"/>
        </w:rPr>
      </w:pPr>
      <w:r>
        <w:rPr>
          <w:rFonts w:hint="eastAsia" w:cs="仿宋_GB2312"/>
          <w:b/>
          <w:bCs/>
          <w:szCs w:val="32"/>
        </w:rPr>
        <w:t>（1）系统升级改造完成率（4分）</w:t>
      </w:r>
    </w:p>
    <w:p>
      <w:pPr>
        <w:spacing w:line="360" w:lineRule="auto"/>
        <w:rPr>
          <w:rFonts w:cs="仿宋_GB2312"/>
          <w:szCs w:val="32"/>
        </w:rPr>
      </w:pPr>
      <w:r>
        <w:rPr>
          <w:rFonts w:hint="eastAsia" w:cs="仿宋_GB2312"/>
          <w:szCs w:val="32"/>
        </w:rPr>
        <w:t>系统升级改造完成率指标分值4分，得分为4分。经现场勘查及查阅资料，机</w:t>
      </w:r>
      <w:r>
        <w:rPr>
          <w:rFonts w:cs="仿宋_GB2312"/>
          <w:szCs w:val="32"/>
        </w:rPr>
        <w:t>构编制实名制管理平台升级维护</w:t>
      </w:r>
      <w:r>
        <w:rPr>
          <w:rFonts w:hint="eastAsia" w:cs="仿宋_GB2312"/>
          <w:szCs w:val="32"/>
        </w:rPr>
        <w:t>项目通过增加硬软件系统，完成机构编制实名制管理系统的升级改造，完善机构编制实名制管理。机</w:t>
      </w:r>
      <w:r>
        <w:rPr>
          <w:rFonts w:cs="仿宋_GB2312"/>
          <w:szCs w:val="32"/>
        </w:rPr>
        <w:t>构编制实名制管理平台</w:t>
      </w:r>
      <w:r>
        <w:rPr>
          <w:rFonts w:hint="eastAsia" w:cs="仿宋_GB2312"/>
          <w:szCs w:val="32"/>
        </w:rPr>
        <w:t>系统升级改造完成率为100%。</w:t>
      </w:r>
    </w:p>
    <w:p>
      <w:pPr>
        <w:spacing w:line="360" w:lineRule="auto"/>
        <w:rPr>
          <w:rFonts w:cs="仿宋_GB2312"/>
          <w:szCs w:val="32"/>
        </w:rPr>
      </w:pPr>
      <w:r>
        <w:rPr>
          <w:rFonts w:hint="eastAsia" w:cs="仿宋_GB2312"/>
          <w:szCs w:val="32"/>
        </w:rPr>
        <w:t>根据指标体系评分标准，指标得分＝系统升级改造完成率*满分值4分＝100%*4分＝4分，得分为4分。</w:t>
      </w:r>
    </w:p>
    <w:p>
      <w:pPr>
        <w:spacing w:line="360" w:lineRule="auto"/>
        <w:ind w:firstLine="643"/>
        <w:rPr>
          <w:rFonts w:cs="仿宋_GB2312"/>
          <w:b/>
          <w:bCs/>
          <w:szCs w:val="32"/>
        </w:rPr>
      </w:pPr>
      <w:r>
        <w:rPr>
          <w:rFonts w:hint="eastAsia" w:cs="仿宋_GB2312"/>
          <w:b/>
          <w:bCs/>
          <w:szCs w:val="32"/>
        </w:rPr>
        <w:t>（2）培训任务完成率（4分）</w:t>
      </w:r>
    </w:p>
    <w:p>
      <w:pPr>
        <w:spacing w:line="360" w:lineRule="auto"/>
        <w:rPr>
          <w:rFonts w:cs="仿宋_GB2312"/>
          <w:szCs w:val="32"/>
        </w:rPr>
      </w:pPr>
      <w:r>
        <w:rPr>
          <w:rFonts w:hint="eastAsia" w:cs="仿宋_GB2312"/>
          <w:szCs w:val="32"/>
        </w:rPr>
        <w:t>培训任务完成率指标分值4分，得分为4分。经核查项目资料，</w:t>
      </w:r>
      <w:r>
        <w:rPr>
          <w:rFonts w:hint="eastAsia" w:cs="仿宋_GB2312"/>
        </w:rPr>
        <w:t>省委编</w:t>
      </w:r>
      <w:r>
        <w:rPr>
          <w:rFonts w:cs="仿宋_GB2312"/>
        </w:rPr>
        <w:t>办</w:t>
      </w:r>
      <w:r>
        <w:rPr>
          <w:rFonts w:hint="eastAsia" w:cs="仿宋_GB2312"/>
          <w:szCs w:val="32"/>
        </w:rPr>
        <w:t>2020年组织召开全省机构编制工作会议、全省经营类事业单位改革工作推进视频会、重点工作推进会、学习贯彻党的十九届四中全会精神专题培训班、中央编办2020年地方机构编制统计布置视频会议、全省机构编制实名制系统业务专题培训班等会议培训9（场）次，培训全省机构编制业务人员1000多人次。培训任务完成率为100%。</w:t>
      </w:r>
    </w:p>
    <w:p>
      <w:pPr>
        <w:spacing w:line="360" w:lineRule="auto"/>
        <w:rPr>
          <w:rFonts w:cs="仿宋_GB2312"/>
          <w:szCs w:val="32"/>
        </w:rPr>
      </w:pPr>
      <w:r>
        <w:rPr>
          <w:rFonts w:hint="eastAsia" w:cs="仿宋_GB2312"/>
          <w:szCs w:val="32"/>
        </w:rPr>
        <w:t>根据指标体系评分标准，指标得分＝培训任务完成率*满分值4分＝100%*4分＝4分，得分为4分。</w:t>
      </w:r>
    </w:p>
    <w:p>
      <w:pPr>
        <w:spacing w:line="360" w:lineRule="auto"/>
        <w:ind w:firstLine="643"/>
        <w:rPr>
          <w:rFonts w:cs="仿宋_GB2312"/>
          <w:b/>
          <w:bCs/>
          <w:szCs w:val="32"/>
        </w:rPr>
      </w:pPr>
      <w:r>
        <w:rPr>
          <w:rFonts w:hint="eastAsia" w:cs="仿宋_GB2312"/>
          <w:b/>
          <w:bCs/>
          <w:szCs w:val="32"/>
        </w:rPr>
        <w:t>（3）考察调研任务完成率（4分）</w:t>
      </w:r>
    </w:p>
    <w:p>
      <w:pPr>
        <w:spacing w:line="360" w:lineRule="auto"/>
        <w:rPr>
          <w:rFonts w:cs="仿宋_GB2312"/>
          <w:szCs w:val="32"/>
        </w:rPr>
      </w:pPr>
      <w:r>
        <w:rPr>
          <w:rFonts w:hint="eastAsia" w:cs="仿宋_GB2312"/>
          <w:szCs w:val="32"/>
        </w:rPr>
        <w:t>考察调研任务完成率指标分值4分，得分为4分。经核查项目资料，2020年</w:t>
      </w:r>
      <w:r>
        <w:rPr>
          <w:rFonts w:hint="eastAsia" w:cs="仿宋_GB2312"/>
        </w:rPr>
        <w:t>省委编</w:t>
      </w:r>
      <w:r>
        <w:rPr>
          <w:rFonts w:cs="仿宋_GB2312"/>
        </w:rPr>
        <w:t>办</w:t>
      </w:r>
      <w:r>
        <w:rPr>
          <w:rFonts w:hint="eastAsia" w:cs="仿宋_GB2312"/>
          <w:szCs w:val="32"/>
        </w:rPr>
        <w:t>组织督查调研组深入省市场监管局、省农业农村厅、省生态环境厅、省应急厅、省交通厅等部门及庆阳市、甘南藏族自治州、酒泉、嘉峪关等地机关、企事业单位，督查《中国共产党机构编制工作条例》学习贯彻情况，调研经营类事业单位改革、机构编制违规问题整改等工作，跟踪机构改革落实情况和相关部门运行情况，及时纠正涉改部门职责调整和机构编制划转不到位、执行“三定”规定不到位等问题。2020年，省委编委领导、省委编办领导及各处室涉及机构改革的考察调研达22次，考察调研人数70多人次。考察调研任务完成率100%。</w:t>
      </w:r>
    </w:p>
    <w:p>
      <w:pPr>
        <w:spacing w:line="360" w:lineRule="auto"/>
        <w:rPr>
          <w:rFonts w:cs="仿宋_GB2312"/>
          <w:szCs w:val="32"/>
        </w:rPr>
      </w:pPr>
      <w:r>
        <w:rPr>
          <w:rFonts w:hint="eastAsia" w:cs="仿宋_GB2312"/>
          <w:szCs w:val="32"/>
        </w:rPr>
        <w:t>根据指标体系评分标准，指标得分＝考察调研任务完成率*满分值4分＝100%*4分＝4分，得分为4分。</w:t>
      </w:r>
    </w:p>
    <w:p>
      <w:pPr>
        <w:spacing w:line="360" w:lineRule="auto"/>
        <w:ind w:firstLine="643"/>
        <w:rPr>
          <w:rFonts w:cs="仿宋_GB2312"/>
          <w:b/>
          <w:bCs/>
          <w:szCs w:val="32"/>
        </w:rPr>
      </w:pPr>
      <w:r>
        <w:rPr>
          <w:rFonts w:hint="eastAsia" w:cs="仿宋_GB2312"/>
          <w:b/>
          <w:bCs/>
          <w:szCs w:val="32"/>
        </w:rPr>
        <w:t>（4）机构改革任务完成率（5分）</w:t>
      </w:r>
    </w:p>
    <w:p>
      <w:pPr>
        <w:spacing w:line="360" w:lineRule="auto"/>
        <w:rPr>
          <w:rFonts w:cs="仿宋_GB2312"/>
          <w:szCs w:val="32"/>
        </w:rPr>
      </w:pPr>
      <w:r>
        <w:rPr>
          <w:rFonts w:hint="eastAsia" w:cs="仿宋_GB2312"/>
          <w:szCs w:val="32"/>
        </w:rPr>
        <w:t>机构改革任务完成率指标分值5分，得分为5分。经核查项目资料，2020年</w:t>
      </w:r>
      <w:r>
        <w:rPr>
          <w:rFonts w:hint="eastAsia" w:cs="仿宋_GB2312"/>
        </w:rPr>
        <w:t>省委编</w:t>
      </w:r>
      <w:r>
        <w:rPr>
          <w:rFonts w:cs="仿宋_GB2312"/>
        </w:rPr>
        <w:t>办</w:t>
      </w:r>
      <w:r>
        <w:rPr>
          <w:rFonts w:hint="eastAsia" w:cs="仿宋_GB2312"/>
          <w:szCs w:val="32"/>
        </w:rPr>
        <w:t>履职尽责，深入推进重点领域和关键环节体制机制改革，一是巩固综合行政执法改革成果，撤销市州五个领域综合行政执法改革涉及的56家处级事业单位；二是全面完成经营类事业单位改革，坚持政企分开、事企分开的原则，积极稳妥做好机构撤并、人员安置、资产划转、社保接续等工作，通过转企改制、撤销、剥离生产经营职能后与其他事业单位整合等方式，将各级402家经营类事业单位全部退出事业单位序列，共撤销各级经营类事业单位378家（含转企改制和并入企业单位），收回事业编制6342名，进一步理顺政府与市场的关系，激发市场主体竞争活力，盘活机构编制资源；三是基本完成乡镇和街道管理体制改革，在限额内统筹设置乡镇党政机构和事业单位，优化职能配置，构建更好服务群众、简约精干的基层组织架构，报请省政府印发《甘肃省赋予乡镇和街道部分县级经济社会管理权限指导目录》，将基层管理迫切需要且能有效承接的215项审批服务执法权限赋予乡镇和街道，推动基层各类机构、组织在服务保障群众需求上有更大作为。机构改革任务完成率100%。</w:t>
      </w:r>
    </w:p>
    <w:p>
      <w:pPr>
        <w:spacing w:line="360" w:lineRule="auto"/>
        <w:rPr>
          <w:rFonts w:cs="仿宋_GB2312"/>
          <w:szCs w:val="32"/>
        </w:rPr>
      </w:pPr>
      <w:r>
        <w:rPr>
          <w:rFonts w:hint="eastAsia" w:cs="仿宋_GB2312"/>
          <w:szCs w:val="32"/>
        </w:rPr>
        <w:t>根据指标体系评分标准，指标得分＝机构改革任务完成率*满分值4分＝100%*4分＝4分，得分为4分。</w:t>
      </w:r>
    </w:p>
    <w:p>
      <w:pPr>
        <w:spacing w:line="360" w:lineRule="auto"/>
        <w:ind w:firstLine="643"/>
        <w:rPr>
          <w:rFonts w:cs="仿宋_GB2312"/>
          <w:b/>
          <w:bCs/>
          <w:szCs w:val="32"/>
        </w:rPr>
      </w:pPr>
      <w:r>
        <w:rPr>
          <w:rFonts w:hint="eastAsia" w:cs="仿宋_GB2312"/>
          <w:b/>
          <w:bCs/>
          <w:szCs w:val="32"/>
        </w:rPr>
        <w:t>2.产出质量（11.9分）（-0.1分）</w:t>
      </w:r>
    </w:p>
    <w:p>
      <w:pPr>
        <w:spacing w:line="360" w:lineRule="auto"/>
        <w:rPr>
          <w:rFonts w:cs="仿宋_GB2312"/>
          <w:szCs w:val="32"/>
        </w:rPr>
      </w:pPr>
      <w:r>
        <w:rPr>
          <w:rFonts w:hint="eastAsia" w:cs="仿宋_GB2312"/>
          <w:szCs w:val="32"/>
        </w:rPr>
        <w:t>产出质量指标分值12分，得分为11.9分。</w:t>
      </w:r>
      <w:r>
        <w:rPr>
          <w:rFonts w:hint="eastAsia" w:cs="仿宋_GB2312"/>
        </w:rPr>
        <w:t>省委编</w:t>
      </w:r>
      <w:r>
        <w:rPr>
          <w:rFonts w:cs="仿宋_GB2312"/>
        </w:rPr>
        <w:t>办</w:t>
      </w:r>
      <w:r>
        <w:rPr>
          <w:rFonts w:hint="eastAsia" w:cs="仿宋_GB2312"/>
          <w:szCs w:val="32"/>
        </w:rPr>
        <w:t>2020年专项业务费项目实名制管理覆盖率、信息化系统正常运行率、维修（护）质量达标率、培训覆盖率、考察调研覆盖率等产出质量指标均达到预期目标。</w:t>
      </w:r>
    </w:p>
    <w:p>
      <w:pPr>
        <w:spacing w:line="360" w:lineRule="auto"/>
        <w:ind w:firstLine="643"/>
        <w:rPr>
          <w:rFonts w:cs="仿宋_GB2312"/>
          <w:b/>
          <w:bCs/>
          <w:szCs w:val="32"/>
        </w:rPr>
      </w:pPr>
      <w:r>
        <w:rPr>
          <w:rFonts w:hint="eastAsia" w:cs="仿宋_GB2312"/>
          <w:b/>
          <w:bCs/>
          <w:szCs w:val="32"/>
        </w:rPr>
        <w:t>（1）实名制管理覆盖率（3分）</w:t>
      </w:r>
    </w:p>
    <w:p>
      <w:pPr>
        <w:spacing w:line="360" w:lineRule="auto"/>
        <w:rPr>
          <w:rFonts w:cs="仿宋_GB2312"/>
          <w:szCs w:val="32"/>
        </w:rPr>
      </w:pPr>
      <w:r>
        <w:rPr>
          <w:rFonts w:hint="eastAsia" w:cs="仿宋_GB2312"/>
          <w:szCs w:val="32"/>
        </w:rPr>
        <w:t>实名制管理覆盖率指标分值3分，得分为3分。经核查项目资料，</w:t>
      </w:r>
      <w:r>
        <w:rPr>
          <w:rFonts w:hint="eastAsia" w:cs="仿宋_GB2312"/>
        </w:rPr>
        <w:t>省委编</w:t>
      </w:r>
      <w:r>
        <w:rPr>
          <w:rFonts w:cs="仿宋_GB2312"/>
        </w:rPr>
        <w:t>办</w:t>
      </w:r>
      <w:r>
        <w:rPr>
          <w:rFonts w:hint="eastAsia" w:cs="仿宋_GB2312"/>
          <w:szCs w:val="32"/>
        </w:rPr>
        <w:t>2020年通过机构编制实名制管理系统的升级改造，完善机构编制实名制管理，实现了省、市、县机构编制实名制管理全覆盖。机构编制实名制管理覆盖率为100%。</w:t>
      </w:r>
    </w:p>
    <w:p>
      <w:pPr>
        <w:spacing w:line="360" w:lineRule="auto"/>
        <w:rPr>
          <w:rFonts w:cs="仿宋_GB2312"/>
          <w:szCs w:val="32"/>
        </w:rPr>
      </w:pPr>
      <w:r>
        <w:rPr>
          <w:rFonts w:hint="eastAsia" w:cs="仿宋_GB2312"/>
          <w:szCs w:val="32"/>
        </w:rPr>
        <w:t>根据指标体系评分标准，实名制管理覆盖率达100%，指标得分为3分。</w:t>
      </w:r>
    </w:p>
    <w:p>
      <w:pPr>
        <w:spacing w:line="360" w:lineRule="auto"/>
        <w:ind w:firstLine="643"/>
        <w:rPr>
          <w:rFonts w:cs="仿宋_GB2312"/>
          <w:b/>
          <w:bCs/>
          <w:szCs w:val="32"/>
        </w:rPr>
      </w:pPr>
      <w:r>
        <w:rPr>
          <w:rFonts w:hint="eastAsia" w:cs="仿宋_GB2312"/>
          <w:b/>
          <w:bCs/>
          <w:szCs w:val="32"/>
        </w:rPr>
        <w:t>（2）信息化系统正常运行率（2.9分）（-0.1分）</w:t>
      </w:r>
    </w:p>
    <w:p>
      <w:pPr>
        <w:spacing w:line="360" w:lineRule="auto"/>
        <w:rPr>
          <w:rFonts w:cs="仿宋_GB2312"/>
          <w:szCs w:val="32"/>
        </w:rPr>
      </w:pPr>
      <w:r>
        <w:rPr>
          <w:rFonts w:hint="eastAsia" w:cs="仿宋_GB2312"/>
          <w:szCs w:val="32"/>
        </w:rPr>
        <w:t>信息化系统正常运行率指标分值3分，得分为3分。经现场勘查及查阅资料，2020年，根据网络安全及信息化系统维护需要，</w:t>
      </w:r>
      <w:r>
        <w:rPr>
          <w:rFonts w:hint="eastAsia" w:cs="仿宋_GB2312"/>
        </w:rPr>
        <w:t>省委编</w:t>
      </w:r>
      <w:r>
        <w:rPr>
          <w:rFonts w:cs="仿宋_GB2312"/>
        </w:rPr>
        <w:t>办</w:t>
      </w:r>
      <w:r>
        <w:rPr>
          <w:rFonts w:hint="eastAsia" w:cs="仿宋_GB2312"/>
          <w:szCs w:val="32"/>
        </w:rPr>
        <w:t>通过自行询价采购的方式确定机房运行维护、网络群系统运行维护、办公区域（终端）设备运行维护第三方服务机构3家，持续做好机房、网络设备维修等工作，为确保各系统的正常运行，第三方服务机构选派1名运维工程师在机房驻场巡查，第一时间解决系统及网络群故障预警，保障了各系统、网络的正常运行。项目满意度调查结果显示，2020年机构编制实名制管理平台、甘肃机构编制网等信息化系统正常运行率为96.3%。</w:t>
      </w:r>
    </w:p>
    <w:p>
      <w:pPr>
        <w:spacing w:line="360" w:lineRule="auto"/>
        <w:rPr>
          <w:rFonts w:cs="仿宋_GB2312"/>
          <w:szCs w:val="32"/>
        </w:rPr>
      </w:pPr>
      <w:r>
        <w:rPr>
          <w:rFonts w:hint="eastAsia" w:cs="仿宋_GB2312"/>
          <w:szCs w:val="32"/>
        </w:rPr>
        <w:t>根据指标体系评分标准，指标得分＝信息化系统正常运行率*满分值3分＝96.3%*3分＝2.9分，得分为2.9分。</w:t>
      </w:r>
    </w:p>
    <w:p>
      <w:pPr>
        <w:spacing w:line="360" w:lineRule="auto"/>
        <w:ind w:firstLine="643"/>
        <w:rPr>
          <w:rFonts w:cs="仿宋_GB2312"/>
          <w:b/>
          <w:bCs/>
          <w:szCs w:val="32"/>
        </w:rPr>
      </w:pPr>
      <w:r>
        <w:rPr>
          <w:rFonts w:hint="eastAsia" w:cs="仿宋_GB2312"/>
          <w:b/>
          <w:bCs/>
          <w:szCs w:val="32"/>
        </w:rPr>
        <w:t>（3）维修（护）质量达标率（2分）</w:t>
      </w:r>
    </w:p>
    <w:p>
      <w:pPr>
        <w:spacing w:line="360" w:lineRule="auto"/>
        <w:rPr>
          <w:rFonts w:cs="仿宋_GB2312"/>
          <w:szCs w:val="32"/>
        </w:rPr>
      </w:pPr>
      <w:r>
        <w:rPr>
          <w:rFonts w:hint="eastAsia" w:cs="仿宋_GB2312"/>
          <w:szCs w:val="32"/>
        </w:rPr>
        <w:t>维修（护）质量达标率指标分值2分，得分为2分。经现场勘查及核实项目资料，经过近一年的机房运行维护、网络群系统运行维护及办公区域（终端）设备运行维护，3家第三方服务机构维修效率高、验收合格率高，与甘</w:t>
      </w:r>
      <w:r>
        <w:rPr>
          <w:rFonts w:hint="eastAsia" w:cs="仿宋_GB2312"/>
        </w:rPr>
        <w:t>省委编</w:t>
      </w:r>
      <w:r>
        <w:rPr>
          <w:rFonts w:cs="仿宋_GB2312"/>
        </w:rPr>
        <w:t>办</w:t>
      </w:r>
      <w:r>
        <w:rPr>
          <w:rFonts w:hint="eastAsia" w:cs="仿宋_GB2312"/>
          <w:szCs w:val="32"/>
        </w:rPr>
        <w:t>维修（护）需求的匹配度较高。2020年，在机构编制实名制管理系统升级改造完成后，经承建单位自验、</w:t>
      </w:r>
      <w:r>
        <w:rPr>
          <w:rFonts w:hint="eastAsia" w:cs="仿宋_GB2312"/>
        </w:rPr>
        <w:t>省委编</w:t>
      </w:r>
      <w:r>
        <w:rPr>
          <w:rFonts w:cs="仿宋_GB2312"/>
        </w:rPr>
        <w:t>办</w:t>
      </w:r>
      <w:r>
        <w:rPr>
          <w:rFonts w:hint="eastAsia" w:cs="仿宋_GB2312"/>
          <w:szCs w:val="32"/>
        </w:rPr>
        <w:t>组织人员初验及邀请第三方人员验收，系统升级改造及维护均符合相关要求，系统维修（护）质量达标率100%。</w:t>
      </w:r>
    </w:p>
    <w:p>
      <w:pPr>
        <w:spacing w:line="360" w:lineRule="auto"/>
        <w:rPr>
          <w:rFonts w:cs="仿宋_GB2312"/>
          <w:szCs w:val="32"/>
        </w:rPr>
      </w:pPr>
      <w:r>
        <w:rPr>
          <w:rFonts w:hint="eastAsia" w:cs="仿宋_GB2312"/>
          <w:szCs w:val="32"/>
        </w:rPr>
        <w:t>根据指标体系评分标准，系统维修（护）质量达标率达100%，指标得分为2分。</w:t>
      </w:r>
    </w:p>
    <w:p>
      <w:pPr>
        <w:spacing w:line="360" w:lineRule="auto"/>
        <w:ind w:firstLine="643"/>
        <w:rPr>
          <w:rFonts w:cs="仿宋_GB2312"/>
          <w:b/>
          <w:bCs/>
          <w:szCs w:val="32"/>
        </w:rPr>
      </w:pPr>
      <w:r>
        <w:rPr>
          <w:rFonts w:hint="eastAsia" w:cs="仿宋_GB2312"/>
          <w:b/>
          <w:bCs/>
          <w:szCs w:val="32"/>
        </w:rPr>
        <w:t>（4）培训覆盖率（2分）</w:t>
      </w:r>
    </w:p>
    <w:p>
      <w:pPr>
        <w:spacing w:line="360" w:lineRule="auto"/>
        <w:rPr>
          <w:rFonts w:cs="仿宋_GB2312"/>
          <w:szCs w:val="32"/>
        </w:rPr>
      </w:pPr>
      <w:r>
        <w:rPr>
          <w:rFonts w:hint="eastAsia" w:cs="仿宋_GB2312"/>
          <w:szCs w:val="32"/>
        </w:rPr>
        <w:t>培训覆盖率指标分值2分，得分为2分。经核查项目资料，2020年，</w:t>
      </w:r>
      <w:r>
        <w:rPr>
          <w:rFonts w:hint="eastAsia" w:cs="仿宋_GB2312"/>
        </w:rPr>
        <w:t>省委编</w:t>
      </w:r>
      <w:r>
        <w:rPr>
          <w:rFonts w:cs="仿宋_GB2312"/>
        </w:rPr>
        <w:t>办</w:t>
      </w:r>
      <w:r>
        <w:rPr>
          <w:rFonts w:hint="eastAsia" w:cs="仿宋_GB2312"/>
          <w:szCs w:val="32"/>
        </w:rPr>
        <w:t>组织召开各类会议培训9（场）次，参加会议及培训人员涉及各市（州）党委编办主任、市（州）党委编办电子政务工作主要负责人及业务骨干、县（市区）党委编办电子政务工作业务骨干和省委编办全体干部。积极组织市县机构编制系统干部参加中央编办举办的培训班，提升市县机构编制干部综合素质和业务能力。会议培训覆盖率达100%。</w:t>
      </w:r>
    </w:p>
    <w:p>
      <w:pPr>
        <w:spacing w:line="360" w:lineRule="auto"/>
        <w:rPr>
          <w:rFonts w:cs="仿宋_GB2312"/>
          <w:szCs w:val="32"/>
        </w:rPr>
      </w:pPr>
      <w:r>
        <w:rPr>
          <w:rFonts w:hint="eastAsia" w:cs="仿宋_GB2312"/>
          <w:szCs w:val="32"/>
        </w:rPr>
        <w:t>根据指标体系评分标准，培训覆盖率达100%，指标得分为2分。</w:t>
      </w:r>
    </w:p>
    <w:p>
      <w:pPr>
        <w:spacing w:line="360" w:lineRule="auto"/>
        <w:ind w:firstLine="643"/>
        <w:rPr>
          <w:rFonts w:cs="仿宋_GB2312"/>
          <w:b/>
          <w:bCs/>
          <w:szCs w:val="32"/>
        </w:rPr>
      </w:pPr>
      <w:r>
        <w:rPr>
          <w:rFonts w:hint="eastAsia" w:cs="仿宋_GB2312"/>
          <w:b/>
          <w:bCs/>
          <w:szCs w:val="32"/>
        </w:rPr>
        <w:t>（5）考察调研覆盖率（2分）</w:t>
      </w:r>
    </w:p>
    <w:p>
      <w:pPr>
        <w:spacing w:line="360" w:lineRule="auto"/>
        <w:rPr>
          <w:rFonts w:cs="仿宋_GB2312"/>
          <w:szCs w:val="32"/>
        </w:rPr>
      </w:pPr>
      <w:r>
        <w:rPr>
          <w:rFonts w:hint="eastAsia" w:cs="仿宋_GB2312"/>
          <w:szCs w:val="32"/>
        </w:rPr>
        <w:t>考察调研覆盖率指标分值2分，得分为2分。经核查项目资料，2020年，</w:t>
      </w:r>
      <w:r>
        <w:rPr>
          <w:rFonts w:hint="eastAsia" w:cs="仿宋_GB2312"/>
        </w:rPr>
        <w:t>省委编</w:t>
      </w:r>
      <w:r>
        <w:rPr>
          <w:rFonts w:cs="仿宋_GB2312"/>
        </w:rPr>
        <w:t>办</w:t>
      </w:r>
      <w:r>
        <w:rPr>
          <w:rFonts w:hint="eastAsia" w:cs="仿宋_GB2312"/>
          <w:szCs w:val="32"/>
        </w:rPr>
        <w:t>组织督查调研组深入省市场监管局、省农业农村厅、省生态环境厅、省应急厅、省交通厅等部门及庆阳市、甘南藏族自治州、酒泉、嘉峪关等地，督查《中国共产党机构编制工作条例》学习贯彻情况，调研经营类事业单位改革、机构编制违规问题整改等工作，跟踪机构改革落实情况和相关部门运行情况，及时纠正涉改部门职责调整和机构编制划转不到位、执行“三定”规定不到位等问题。全年考察调研达22次，考察调研覆盖范围广，涉及省直机关、事业单位和地州市、县、乡镇（街道）等机关事业单位。考察调研覆盖率达100%。</w:t>
      </w:r>
    </w:p>
    <w:p>
      <w:pPr>
        <w:spacing w:line="360" w:lineRule="auto"/>
      </w:pPr>
      <w:r>
        <w:rPr>
          <w:rFonts w:hint="eastAsia" w:cs="仿宋_GB2312"/>
          <w:szCs w:val="32"/>
        </w:rPr>
        <w:t>根据指标体系评分标准，考察调研覆盖率达100%，指标得分为2分。</w:t>
      </w:r>
    </w:p>
    <w:p>
      <w:pPr>
        <w:spacing w:line="360" w:lineRule="auto"/>
        <w:ind w:firstLine="643"/>
        <w:rPr>
          <w:rFonts w:cs="仿宋_GB2312"/>
          <w:b/>
          <w:bCs/>
          <w:szCs w:val="32"/>
        </w:rPr>
      </w:pPr>
      <w:r>
        <w:rPr>
          <w:rFonts w:hint="eastAsia" w:cs="仿宋_GB2312"/>
          <w:b/>
          <w:bCs/>
          <w:szCs w:val="32"/>
        </w:rPr>
        <w:t>3.产出时效（6分）</w:t>
      </w:r>
    </w:p>
    <w:p>
      <w:pPr>
        <w:spacing w:line="360" w:lineRule="auto"/>
        <w:rPr>
          <w:rFonts w:cs="仿宋_GB2312"/>
          <w:szCs w:val="32"/>
        </w:rPr>
      </w:pPr>
      <w:r>
        <w:rPr>
          <w:rFonts w:hint="eastAsia" w:cs="仿宋_GB2312"/>
          <w:szCs w:val="32"/>
        </w:rPr>
        <w:t>产出时效指标分值6分，得分为6分。</w:t>
      </w:r>
      <w:r>
        <w:rPr>
          <w:rFonts w:hint="eastAsia" w:cs="仿宋_GB2312"/>
        </w:rPr>
        <w:t>省委编</w:t>
      </w:r>
      <w:r>
        <w:rPr>
          <w:rFonts w:cs="仿宋_GB2312"/>
        </w:rPr>
        <w:t>办</w:t>
      </w:r>
      <w:r>
        <w:rPr>
          <w:rFonts w:hint="eastAsia" w:cs="仿宋_GB2312"/>
          <w:szCs w:val="32"/>
        </w:rPr>
        <w:t>2020年专项业务费项目系统升级维护、会议培训、用电保障等及时进行。</w:t>
      </w:r>
    </w:p>
    <w:p>
      <w:pPr>
        <w:spacing w:line="360" w:lineRule="auto"/>
        <w:ind w:firstLine="643"/>
        <w:rPr>
          <w:rFonts w:cs="仿宋_GB2312"/>
          <w:b/>
          <w:bCs/>
          <w:szCs w:val="32"/>
        </w:rPr>
      </w:pPr>
      <w:r>
        <w:rPr>
          <w:rFonts w:hint="eastAsia" w:cs="仿宋_GB2312"/>
          <w:b/>
          <w:bCs/>
          <w:szCs w:val="32"/>
        </w:rPr>
        <w:t>（1）系统升级维护及时性（2分）</w:t>
      </w:r>
    </w:p>
    <w:p>
      <w:pPr>
        <w:spacing w:line="360" w:lineRule="auto"/>
        <w:rPr>
          <w:rFonts w:cs="仿宋_GB2312"/>
          <w:szCs w:val="32"/>
        </w:rPr>
      </w:pPr>
      <w:r>
        <w:rPr>
          <w:rFonts w:hint="eastAsia" w:cs="仿宋_GB2312"/>
          <w:szCs w:val="32"/>
        </w:rPr>
        <w:t>系统升级维护及时性指标分值2分，得分为2分。经核实项目资料，机构编制实名制管理系统升级改造项目增加硬件设施及软件系统升级维护，在合同规定的计划时间内和相关要求下及时完成，</w:t>
      </w:r>
      <w:r>
        <w:rPr>
          <w:rFonts w:hint="eastAsia" w:cs="仿宋_GB2312"/>
        </w:rPr>
        <w:t>省委编</w:t>
      </w:r>
      <w:r>
        <w:rPr>
          <w:rFonts w:cs="仿宋_GB2312"/>
        </w:rPr>
        <w:t>办</w:t>
      </w:r>
      <w:r>
        <w:rPr>
          <w:rFonts w:hint="eastAsia" w:cs="仿宋_GB2312"/>
          <w:szCs w:val="32"/>
        </w:rPr>
        <w:t>第一时间组织人员进行初验，并邀请第三方专业人员进行交付使用验收，验收合格后及时投入运行。</w:t>
      </w:r>
    </w:p>
    <w:p>
      <w:pPr>
        <w:spacing w:line="360" w:lineRule="auto"/>
        <w:rPr>
          <w:rFonts w:cs="仿宋_GB2312"/>
          <w:szCs w:val="32"/>
        </w:rPr>
      </w:pPr>
      <w:r>
        <w:rPr>
          <w:rFonts w:hint="eastAsia" w:cs="仿宋_GB2312"/>
          <w:szCs w:val="32"/>
        </w:rPr>
        <w:t>根据指标体系评分标准，系统升级维护及时，指标得分为2分。</w:t>
      </w:r>
    </w:p>
    <w:p>
      <w:pPr>
        <w:spacing w:line="360" w:lineRule="auto"/>
        <w:ind w:firstLine="643"/>
        <w:rPr>
          <w:rFonts w:cs="仿宋_GB2312"/>
          <w:b/>
          <w:bCs/>
          <w:szCs w:val="32"/>
        </w:rPr>
      </w:pPr>
      <w:r>
        <w:rPr>
          <w:rFonts w:hint="eastAsia" w:cs="仿宋_GB2312"/>
          <w:b/>
          <w:bCs/>
          <w:szCs w:val="32"/>
        </w:rPr>
        <w:t>（2）会议培训及时性（2分）</w:t>
      </w:r>
    </w:p>
    <w:p>
      <w:pPr>
        <w:spacing w:line="360" w:lineRule="auto"/>
        <w:rPr>
          <w:rFonts w:cs="仿宋_GB2312"/>
          <w:szCs w:val="32"/>
        </w:rPr>
      </w:pPr>
      <w:r>
        <w:rPr>
          <w:rFonts w:hint="eastAsia" w:cs="仿宋_GB2312"/>
          <w:szCs w:val="32"/>
        </w:rPr>
        <w:t>会议培训及时性指标分值2分，得分为2分。经核实项目资料，2020年，</w:t>
      </w:r>
      <w:r>
        <w:rPr>
          <w:rFonts w:hint="eastAsia" w:cs="仿宋_GB2312"/>
        </w:rPr>
        <w:t>省委编</w:t>
      </w:r>
      <w:r>
        <w:rPr>
          <w:rFonts w:cs="仿宋_GB2312"/>
        </w:rPr>
        <w:t>办</w:t>
      </w:r>
      <w:r>
        <w:rPr>
          <w:rFonts w:hint="eastAsia" w:cs="仿宋_GB2312"/>
          <w:szCs w:val="32"/>
        </w:rPr>
        <w:t>根据业务工作推进情况及上级文件、会议精神，及时组织省直部门分管领导、市（州）党委编办主任召开工作推进会，传达上级会议精神；同时，根据业务需要，及时召开相关业务现场培训或视频培训会议，让业务人员第一时间熟悉业务新要求、新方法。</w:t>
      </w:r>
    </w:p>
    <w:p>
      <w:pPr>
        <w:spacing w:line="360" w:lineRule="auto"/>
        <w:rPr>
          <w:rFonts w:cs="仿宋_GB2312"/>
          <w:szCs w:val="32"/>
        </w:rPr>
      </w:pPr>
      <w:r>
        <w:rPr>
          <w:rFonts w:hint="eastAsia" w:cs="仿宋_GB2312"/>
          <w:szCs w:val="32"/>
        </w:rPr>
        <w:t>根据指标体系评分标准，会议培训及时，指标得分为2分。</w:t>
      </w:r>
    </w:p>
    <w:p>
      <w:pPr>
        <w:spacing w:line="360" w:lineRule="auto"/>
        <w:ind w:firstLine="643"/>
        <w:rPr>
          <w:rFonts w:cs="仿宋_GB2312"/>
          <w:b/>
          <w:bCs/>
          <w:szCs w:val="32"/>
        </w:rPr>
      </w:pPr>
      <w:r>
        <w:rPr>
          <w:rFonts w:hint="eastAsia" w:cs="仿宋_GB2312"/>
          <w:b/>
          <w:bCs/>
          <w:szCs w:val="32"/>
        </w:rPr>
        <w:t>（3）用电保障及时性（2分）</w:t>
      </w:r>
    </w:p>
    <w:p>
      <w:pPr>
        <w:spacing w:line="360" w:lineRule="auto"/>
        <w:rPr>
          <w:rFonts w:cs="仿宋_GB2312"/>
          <w:szCs w:val="32"/>
        </w:rPr>
      </w:pPr>
      <w:r>
        <w:rPr>
          <w:rFonts w:hint="eastAsia" w:cs="仿宋_GB2312"/>
          <w:szCs w:val="32"/>
        </w:rPr>
        <w:t>用电保障及时性指标分值2分，得分为2分。经核实项目资料，2020年，</w:t>
      </w:r>
      <w:r>
        <w:rPr>
          <w:rFonts w:hint="eastAsia" w:cs="仿宋_GB2312"/>
        </w:rPr>
        <w:t>省委编</w:t>
      </w:r>
      <w:r>
        <w:rPr>
          <w:rFonts w:cs="仿宋_GB2312"/>
        </w:rPr>
        <w:t>办</w:t>
      </w:r>
      <w:r>
        <w:rPr>
          <w:rFonts w:hint="eastAsia" w:cs="仿宋_GB2312"/>
          <w:szCs w:val="32"/>
        </w:rPr>
        <w:t>将机房用电列入财政预算，确保了机房电费的足额缴纳，保障了机房的正常运行，并根据以往年度用电情况，定期了解机房用电量及电费余额，及时缴纳机房电费，保障了各系统的正常运行。</w:t>
      </w:r>
    </w:p>
    <w:p>
      <w:pPr>
        <w:spacing w:line="360" w:lineRule="auto"/>
        <w:rPr>
          <w:rFonts w:cs="仿宋_GB2312"/>
          <w:b/>
          <w:bCs/>
          <w:szCs w:val="32"/>
        </w:rPr>
      </w:pPr>
      <w:r>
        <w:rPr>
          <w:rFonts w:hint="eastAsia" w:cs="仿宋_GB2312"/>
          <w:szCs w:val="32"/>
        </w:rPr>
        <w:t>根据指标体系评分标准，用电保障及时，指标得分为2分。</w:t>
      </w:r>
    </w:p>
    <w:p>
      <w:pPr>
        <w:spacing w:line="360" w:lineRule="auto"/>
        <w:ind w:firstLine="643"/>
        <w:rPr>
          <w:rFonts w:cs="仿宋_GB2312"/>
          <w:b/>
          <w:bCs/>
          <w:szCs w:val="32"/>
        </w:rPr>
      </w:pPr>
      <w:r>
        <w:rPr>
          <w:rFonts w:hint="eastAsia" w:cs="仿宋_GB2312"/>
          <w:b/>
          <w:bCs/>
          <w:szCs w:val="32"/>
        </w:rPr>
        <w:t>4.产出成本（2分）</w:t>
      </w:r>
    </w:p>
    <w:p>
      <w:pPr>
        <w:spacing w:line="360" w:lineRule="auto"/>
        <w:rPr>
          <w:rFonts w:cs="仿宋_GB2312"/>
          <w:bCs/>
          <w:szCs w:val="32"/>
        </w:rPr>
      </w:pPr>
      <w:r>
        <w:rPr>
          <w:rFonts w:hint="eastAsia" w:cs="仿宋_GB2312"/>
          <w:bCs/>
          <w:szCs w:val="32"/>
        </w:rPr>
        <w:t>产出成本指标分值2分，得分为2分。</w:t>
      </w:r>
      <w:r>
        <w:rPr>
          <w:rFonts w:hint="eastAsia" w:cs="仿宋_GB2312"/>
        </w:rPr>
        <w:t>省委编</w:t>
      </w:r>
      <w:r>
        <w:rPr>
          <w:rFonts w:cs="仿宋_GB2312"/>
        </w:rPr>
        <w:t>办</w:t>
      </w:r>
      <w:r>
        <w:rPr>
          <w:rFonts w:hint="eastAsia" w:cs="仿宋_GB2312"/>
          <w:bCs/>
          <w:szCs w:val="32"/>
        </w:rPr>
        <w:t>2020年专项业务费项目预算成本执行结果未超支，在预算成本控制范围内。</w:t>
      </w:r>
    </w:p>
    <w:p>
      <w:pPr>
        <w:spacing w:line="360" w:lineRule="auto"/>
        <w:ind w:firstLine="643"/>
        <w:rPr>
          <w:rFonts w:cs="仿宋_GB2312"/>
          <w:b/>
          <w:bCs/>
          <w:szCs w:val="32"/>
        </w:rPr>
      </w:pPr>
      <w:r>
        <w:rPr>
          <w:rFonts w:hint="eastAsia" w:cs="仿宋_GB2312"/>
          <w:b/>
          <w:bCs/>
          <w:szCs w:val="32"/>
        </w:rPr>
        <w:t>（1）预算成本控制（2分）</w:t>
      </w:r>
    </w:p>
    <w:p>
      <w:pPr>
        <w:spacing w:line="360" w:lineRule="auto"/>
        <w:rPr>
          <w:rFonts w:cs="仿宋_GB2312"/>
          <w:bCs/>
          <w:szCs w:val="32"/>
        </w:rPr>
      </w:pPr>
      <w:r>
        <w:rPr>
          <w:rFonts w:hint="eastAsia" w:cs="仿宋_GB2312"/>
          <w:bCs/>
          <w:szCs w:val="32"/>
        </w:rPr>
        <w:t>预算成本控制指标分值2分，得分为2分。根据查阅项目相关支出凭证，2020年，</w:t>
      </w:r>
      <w:r>
        <w:rPr>
          <w:rFonts w:hint="eastAsia" w:cs="仿宋_GB2312"/>
        </w:rPr>
        <w:t>省委编</w:t>
      </w:r>
      <w:r>
        <w:rPr>
          <w:rFonts w:cs="仿宋_GB2312"/>
        </w:rPr>
        <w:t>办</w:t>
      </w:r>
      <w:r>
        <w:rPr>
          <w:rFonts w:hint="eastAsia" w:cs="仿宋_GB2312"/>
          <w:bCs/>
          <w:szCs w:val="32"/>
        </w:rPr>
        <w:t>专项业务费总预算400万元，实际到位403.6907万元，实际支出403.6907万元，未超出项目预算。</w:t>
      </w:r>
    </w:p>
    <w:p>
      <w:pPr>
        <w:spacing w:line="360" w:lineRule="auto"/>
        <w:rPr>
          <w:rFonts w:cs="仿宋_GB2312"/>
          <w:bCs/>
          <w:szCs w:val="32"/>
        </w:rPr>
      </w:pPr>
      <w:r>
        <w:rPr>
          <w:rFonts w:hint="eastAsia" w:cs="仿宋_GB2312"/>
          <w:bCs/>
          <w:szCs w:val="32"/>
        </w:rPr>
        <w:t>根据指标体系评分标准，项目预算成本执行结果没有超支，在预算成本控制范围内。</w:t>
      </w:r>
      <w:r>
        <w:rPr>
          <w:rFonts w:hint="eastAsia" w:cs="仿宋_GB2312"/>
          <w:szCs w:val="32"/>
        </w:rPr>
        <w:t>指标</w:t>
      </w:r>
      <w:r>
        <w:rPr>
          <w:rFonts w:hint="eastAsia" w:cs="仿宋_GB2312"/>
          <w:bCs/>
          <w:szCs w:val="32"/>
        </w:rPr>
        <w:t>得分为2分。</w:t>
      </w:r>
    </w:p>
    <w:p>
      <w:pPr>
        <w:pStyle w:val="4"/>
        <w:keepNext w:val="0"/>
        <w:keepLines w:val="0"/>
        <w:spacing w:line="360" w:lineRule="auto"/>
        <w:ind w:firstLine="643"/>
        <w:rPr>
          <w:rFonts w:ascii="楷体" w:hAnsi="楷体" w:eastAsia="楷体" w:cs="仿宋_GB2312"/>
          <w:bCs/>
          <w:szCs w:val="32"/>
        </w:rPr>
      </w:pPr>
      <w:bookmarkStart w:id="65" w:name="_Toc13518"/>
      <w:bookmarkStart w:id="66" w:name="_Toc28027"/>
      <w:r>
        <w:rPr>
          <w:rFonts w:hint="eastAsia" w:ascii="楷体" w:hAnsi="楷体" w:eastAsia="楷体" w:cs="楷体"/>
        </w:rPr>
        <w:fldChar w:fldCharType="begin"/>
      </w:r>
      <w:r>
        <w:rPr>
          <w:rFonts w:hint="eastAsia" w:ascii="楷体" w:hAnsi="楷体" w:eastAsia="楷体" w:cs="楷体"/>
        </w:rPr>
        <w:instrText xml:space="preserve"> HYPERLINK \l "_Toc31209" </w:instrText>
      </w:r>
      <w:r>
        <w:rPr>
          <w:rFonts w:hint="eastAsia" w:ascii="楷体" w:hAnsi="楷体" w:eastAsia="楷体" w:cs="楷体"/>
        </w:rPr>
        <w:fldChar w:fldCharType="separate"/>
      </w:r>
      <w:r>
        <w:rPr>
          <w:rFonts w:hint="eastAsia" w:ascii="楷体" w:hAnsi="楷体" w:eastAsia="楷体" w:cs="楷体"/>
        </w:rPr>
        <w:t>（四）项目效益</w:t>
      </w:r>
      <w:r>
        <w:rPr>
          <w:rFonts w:hint="eastAsia" w:ascii="楷体" w:hAnsi="楷体" w:eastAsia="楷体" w:cs="楷体"/>
        </w:rPr>
        <w:fldChar w:fldCharType="end"/>
      </w:r>
      <w:r>
        <w:rPr>
          <w:rFonts w:hint="eastAsia" w:ascii="楷体" w:hAnsi="楷体" w:eastAsia="楷体" w:cs="楷体"/>
        </w:rPr>
        <w:t>情况</w:t>
      </w:r>
      <w:bookmarkEnd w:id="65"/>
    </w:p>
    <w:p>
      <w:pPr>
        <w:spacing w:line="360" w:lineRule="auto"/>
        <w:rPr>
          <w:rFonts w:cs="仿宋_GB2312"/>
        </w:rPr>
      </w:pPr>
      <w:r>
        <w:rPr>
          <w:rFonts w:hint="eastAsia" w:cs="仿宋_GB2312"/>
        </w:rPr>
        <w:t>省委编</w:t>
      </w:r>
      <w:r>
        <w:rPr>
          <w:rFonts w:cs="仿宋_GB2312"/>
        </w:rPr>
        <w:t>办</w:t>
      </w:r>
      <w:r>
        <w:rPr>
          <w:rFonts w:hint="eastAsia" w:cs="仿宋_GB2312"/>
        </w:rPr>
        <w:t>2020年专项业务费项目绩效评价效益类指标分别从</w:t>
      </w:r>
      <w:r>
        <w:rPr>
          <w:rFonts w:hint="eastAsia"/>
        </w:rPr>
        <w:t>社会效益、可持续影响、满意度三个方面进行评价分析</w:t>
      </w:r>
      <w:r>
        <w:rPr>
          <w:rFonts w:hint="eastAsia" w:cs="仿宋_GB2312"/>
        </w:rPr>
        <w:t>。各项指标具体得分情况如下表所示：</w:t>
      </w:r>
    </w:p>
    <w:tbl>
      <w:tblPr>
        <w:tblStyle w:val="16"/>
        <w:tblW w:w="461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09"/>
        <w:gridCol w:w="2181"/>
        <w:gridCol w:w="3321"/>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7660" w:type="dxa"/>
            <w:gridSpan w:val="4"/>
            <w:tcBorders>
              <w:top w:val="nil"/>
              <w:left w:val="nil"/>
              <w:bottom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rPr>
                <w:rFonts w:hint="eastAsia" w:ascii="宋体" w:hAnsi="宋体" w:eastAsia="宋体" w:cs="宋体"/>
                <w:b/>
                <w:bCs/>
                <w:sz w:val="28"/>
                <w:szCs w:val="28"/>
              </w:rPr>
              <w:t>表6  效益类各项指标绩效评价</w:t>
            </w:r>
            <w:r>
              <w:rPr>
                <w:rFonts w:hint="eastAsia" w:ascii="宋体" w:hAnsi="宋体" w:eastAsia="宋体" w:cs="宋体"/>
                <w:b/>
                <w:sz w:val="28"/>
                <w:szCs w:val="28"/>
              </w:rPr>
              <w:t>得分表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276" w:type="dxa"/>
            <w:tcBorders>
              <w:top w:val="double" w:color="000000" w:sz="4" w:space="0"/>
              <w:left w:val="nil"/>
            </w:tcBorders>
            <w:shd w:val="clear" w:color="auto" w:fill="auto"/>
            <w:vAlign w:val="center"/>
          </w:tcPr>
          <w:p>
            <w:pPr>
              <w:spacing w:line="500" w:lineRule="exact"/>
              <w:ind w:firstLine="0" w:firstLineChars="0"/>
              <w:jc w:val="center"/>
              <w:rPr>
                <w:rFonts w:ascii="宋体" w:hAnsi="宋体" w:eastAsia="宋体" w:cs="宋体"/>
                <w:b/>
                <w:sz w:val="24"/>
                <w:szCs w:val="22"/>
              </w:rPr>
            </w:pPr>
            <w:r>
              <w:rPr>
                <w:rFonts w:hint="eastAsia" w:ascii="宋体" w:hAnsi="宋体" w:eastAsia="宋体" w:cs="宋体"/>
                <w:b/>
                <w:sz w:val="24"/>
                <w:szCs w:val="22"/>
              </w:rPr>
              <w:t>一级指标</w:t>
            </w:r>
          </w:p>
        </w:tc>
        <w:tc>
          <w:tcPr>
            <w:tcW w:w="2126" w:type="dxa"/>
            <w:tcBorders>
              <w:top w:val="double" w:color="000000" w:sz="4" w:space="0"/>
            </w:tcBorders>
            <w:shd w:val="clear" w:color="auto" w:fill="auto"/>
            <w:vAlign w:val="center"/>
          </w:tcPr>
          <w:p>
            <w:pPr>
              <w:spacing w:line="500" w:lineRule="exact"/>
              <w:ind w:firstLine="0" w:firstLineChars="0"/>
              <w:jc w:val="center"/>
              <w:rPr>
                <w:rFonts w:ascii="宋体" w:hAnsi="宋体" w:eastAsia="宋体" w:cs="宋体"/>
                <w:b/>
                <w:sz w:val="24"/>
                <w:szCs w:val="22"/>
              </w:rPr>
            </w:pPr>
            <w:r>
              <w:rPr>
                <w:rFonts w:hint="eastAsia" w:ascii="宋体" w:hAnsi="宋体" w:eastAsia="宋体" w:cs="宋体"/>
                <w:b/>
                <w:sz w:val="24"/>
                <w:szCs w:val="22"/>
              </w:rPr>
              <w:t>二级指标</w:t>
            </w:r>
          </w:p>
        </w:tc>
        <w:tc>
          <w:tcPr>
            <w:tcW w:w="3237" w:type="dxa"/>
            <w:tcBorders>
              <w:top w:val="double" w:color="000000" w:sz="4" w:space="0"/>
            </w:tcBorders>
            <w:shd w:val="clear" w:color="auto" w:fill="auto"/>
            <w:vAlign w:val="center"/>
          </w:tcPr>
          <w:p>
            <w:pPr>
              <w:spacing w:line="500" w:lineRule="exact"/>
              <w:ind w:firstLine="0" w:firstLineChars="0"/>
              <w:jc w:val="center"/>
              <w:rPr>
                <w:rFonts w:ascii="宋体" w:hAnsi="宋体" w:eastAsia="宋体" w:cs="宋体"/>
                <w:b/>
                <w:sz w:val="24"/>
                <w:szCs w:val="22"/>
              </w:rPr>
            </w:pPr>
            <w:r>
              <w:rPr>
                <w:rFonts w:hint="eastAsia" w:ascii="宋体" w:hAnsi="宋体" w:eastAsia="宋体" w:cs="宋体"/>
                <w:b/>
                <w:sz w:val="24"/>
                <w:szCs w:val="22"/>
              </w:rPr>
              <w:t>三级指标</w:t>
            </w:r>
          </w:p>
        </w:tc>
        <w:tc>
          <w:tcPr>
            <w:tcW w:w="1021" w:type="dxa"/>
            <w:tcBorders>
              <w:top w:val="double" w:color="000000" w:sz="4" w:space="0"/>
              <w:right w:val="nil"/>
            </w:tcBorders>
            <w:shd w:val="clear" w:color="auto" w:fill="auto"/>
            <w:vAlign w:val="center"/>
          </w:tcPr>
          <w:p>
            <w:pPr>
              <w:spacing w:line="500" w:lineRule="exact"/>
              <w:ind w:firstLine="0" w:firstLineChars="0"/>
              <w:jc w:val="center"/>
              <w:rPr>
                <w:rFonts w:ascii="宋体" w:hAnsi="宋体" w:eastAsia="宋体" w:cs="宋体"/>
                <w:b/>
                <w:sz w:val="24"/>
                <w:szCs w:val="22"/>
              </w:rPr>
            </w:pPr>
            <w:r>
              <w:rPr>
                <w:rFonts w:hint="eastAsia" w:ascii="宋体" w:hAnsi="宋体" w:eastAsia="宋体" w:cs="宋体"/>
                <w:b/>
                <w:sz w:val="24"/>
                <w:szCs w:val="22"/>
              </w:rPr>
              <w:t>得分率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6" w:type="dxa"/>
            <w:vMerge w:val="restart"/>
            <w:tcBorders>
              <w:left w:val="nil"/>
            </w:tcBorders>
            <w:shd w:val="clear" w:color="auto" w:fill="auto"/>
            <w:vAlign w:val="center"/>
          </w:tcPr>
          <w:p>
            <w:pPr>
              <w:spacing w:line="500" w:lineRule="exact"/>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效益</w:t>
            </w:r>
          </w:p>
          <w:p>
            <w:pPr>
              <w:spacing w:line="500" w:lineRule="exact"/>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得分率：99.23%</w:t>
            </w:r>
          </w:p>
        </w:tc>
        <w:tc>
          <w:tcPr>
            <w:tcW w:w="2126" w:type="dxa"/>
            <w:vMerge w:val="restart"/>
            <w:shd w:val="clear" w:color="auto" w:fill="auto"/>
            <w:vAlign w:val="center"/>
          </w:tcPr>
          <w:p>
            <w:pPr>
              <w:spacing w:line="500" w:lineRule="exact"/>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社会效益</w:t>
            </w:r>
          </w:p>
          <w:p>
            <w:pPr>
              <w:spacing w:line="500" w:lineRule="exact"/>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得分率：98.33%</w:t>
            </w:r>
          </w:p>
        </w:tc>
        <w:tc>
          <w:tcPr>
            <w:tcW w:w="3237" w:type="dxa"/>
            <w:shd w:val="clear" w:color="auto" w:fill="auto"/>
            <w:vAlign w:val="center"/>
          </w:tcPr>
          <w:p>
            <w:pPr>
              <w:spacing w:line="500" w:lineRule="exact"/>
              <w:ind w:firstLine="0" w:firstLineChars="0"/>
              <w:jc w:val="center"/>
              <w:rPr>
                <w:rFonts w:ascii="宋体" w:hAnsi="宋体" w:eastAsia="宋体" w:cs="宋体"/>
                <w:kern w:val="0"/>
                <w:sz w:val="24"/>
              </w:rPr>
            </w:pPr>
            <w:r>
              <w:rPr>
                <w:rFonts w:hint="eastAsia" w:ascii="宋体" w:hAnsi="宋体" w:eastAsia="宋体" w:cs="宋体"/>
                <w:kern w:val="0"/>
                <w:sz w:val="24"/>
              </w:rPr>
              <w:t>巩固深化机构改革成果</w:t>
            </w:r>
          </w:p>
        </w:tc>
        <w:tc>
          <w:tcPr>
            <w:tcW w:w="1021" w:type="dxa"/>
            <w:tcBorders>
              <w:right w:val="nil"/>
            </w:tcBorders>
            <w:shd w:val="clear" w:color="auto" w:fill="auto"/>
            <w:vAlign w:val="center"/>
          </w:tcPr>
          <w:p>
            <w:pPr>
              <w:spacing w:line="500" w:lineRule="exact"/>
              <w:ind w:firstLine="0" w:firstLineChars="0"/>
              <w:jc w:val="center"/>
              <w:rPr>
                <w:rFonts w:ascii="宋体" w:hAnsi="宋体" w:eastAsia="宋体" w:cs="宋体"/>
                <w:kern w:val="0"/>
                <w:sz w:val="24"/>
              </w:rPr>
            </w:pPr>
            <w:r>
              <w:rPr>
                <w:rFonts w:hint="eastAsia" w:ascii="宋体" w:hAnsi="宋体" w:eastAsia="宋体" w:cs="宋体"/>
                <w:kern w:val="0"/>
                <w:sz w:val="24"/>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276" w:type="dxa"/>
            <w:vMerge w:val="continue"/>
            <w:tcBorders>
              <w:left w:val="nil"/>
            </w:tcBorders>
            <w:shd w:val="clear" w:color="auto" w:fill="auto"/>
            <w:vAlign w:val="center"/>
          </w:tcPr>
          <w:p>
            <w:pPr>
              <w:spacing w:line="500" w:lineRule="exact"/>
              <w:ind w:firstLine="0" w:firstLineChars="0"/>
              <w:jc w:val="center"/>
              <w:rPr>
                <w:rFonts w:ascii="宋体" w:hAnsi="宋体" w:eastAsia="宋体" w:cs="宋体"/>
                <w:bCs/>
                <w:sz w:val="24"/>
                <w:szCs w:val="22"/>
              </w:rPr>
            </w:pPr>
          </w:p>
        </w:tc>
        <w:tc>
          <w:tcPr>
            <w:tcW w:w="2126" w:type="dxa"/>
            <w:vMerge w:val="continue"/>
            <w:shd w:val="clear" w:color="auto" w:fill="auto"/>
            <w:vAlign w:val="center"/>
          </w:tcPr>
          <w:p>
            <w:pPr>
              <w:spacing w:line="500" w:lineRule="exact"/>
              <w:ind w:firstLine="0" w:firstLineChars="0"/>
              <w:jc w:val="center"/>
              <w:rPr>
                <w:rFonts w:ascii="宋体" w:hAnsi="宋体" w:eastAsia="宋体" w:cs="宋体"/>
                <w:bCs/>
                <w:sz w:val="24"/>
                <w:szCs w:val="22"/>
              </w:rPr>
            </w:pPr>
          </w:p>
        </w:tc>
        <w:tc>
          <w:tcPr>
            <w:tcW w:w="3237" w:type="dxa"/>
            <w:shd w:val="clear" w:color="auto" w:fill="auto"/>
            <w:vAlign w:val="center"/>
          </w:tcPr>
          <w:p>
            <w:pPr>
              <w:spacing w:line="500" w:lineRule="exact"/>
              <w:ind w:firstLine="0" w:firstLineChars="0"/>
              <w:jc w:val="center"/>
              <w:rPr>
                <w:rFonts w:ascii="宋体" w:hAnsi="宋体" w:eastAsia="宋体" w:cs="宋体"/>
                <w:kern w:val="0"/>
                <w:sz w:val="24"/>
              </w:rPr>
            </w:pPr>
            <w:r>
              <w:rPr>
                <w:rFonts w:hint="eastAsia" w:ascii="宋体" w:hAnsi="宋体" w:eastAsia="宋体" w:cs="宋体"/>
                <w:kern w:val="0"/>
                <w:sz w:val="24"/>
              </w:rPr>
              <w:t>优化编制资源配置</w:t>
            </w:r>
          </w:p>
        </w:tc>
        <w:tc>
          <w:tcPr>
            <w:tcW w:w="1021" w:type="dxa"/>
            <w:tcBorders>
              <w:right w:val="nil"/>
            </w:tcBorders>
            <w:shd w:val="clear" w:color="auto" w:fill="auto"/>
            <w:vAlign w:val="center"/>
          </w:tcPr>
          <w:p>
            <w:pPr>
              <w:spacing w:line="500" w:lineRule="exact"/>
              <w:ind w:firstLine="0" w:firstLineChars="0"/>
              <w:jc w:val="center"/>
              <w:rPr>
                <w:rFonts w:ascii="宋体" w:hAnsi="宋体" w:eastAsia="宋体" w:cs="宋体"/>
                <w:kern w:val="0"/>
                <w:sz w:val="24"/>
              </w:rPr>
            </w:pPr>
            <w:r>
              <w:rPr>
                <w:rFonts w:hint="eastAsia" w:ascii="宋体" w:hAnsi="宋体" w:eastAsia="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6" w:type="dxa"/>
            <w:vMerge w:val="continue"/>
            <w:tcBorders>
              <w:left w:val="nil"/>
            </w:tcBorders>
            <w:shd w:val="clear" w:color="auto" w:fill="auto"/>
            <w:vAlign w:val="center"/>
          </w:tcPr>
          <w:p>
            <w:pPr>
              <w:spacing w:line="500" w:lineRule="exact"/>
              <w:ind w:firstLine="0" w:firstLineChars="0"/>
              <w:jc w:val="center"/>
              <w:rPr>
                <w:rFonts w:ascii="宋体" w:hAnsi="宋体" w:eastAsia="宋体" w:cs="宋体"/>
                <w:bCs/>
                <w:sz w:val="24"/>
                <w:szCs w:val="22"/>
              </w:rPr>
            </w:pPr>
          </w:p>
        </w:tc>
        <w:tc>
          <w:tcPr>
            <w:tcW w:w="2126" w:type="dxa"/>
            <w:vMerge w:val="continue"/>
            <w:shd w:val="clear" w:color="auto" w:fill="auto"/>
            <w:vAlign w:val="center"/>
          </w:tcPr>
          <w:p>
            <w:pPr>
              <w:spacing w:line="500" w:lineRule="exact"/>
              <w:ind w:firstLine="0" w:firstLineChars="0"/>
              <w:jc w:val="center"/>
              <w:rPr>
                <w:rFonts w:ascii="宋体" w:hAnsi="宋体" w:eastAsia="宋体" w:cs="宋体"/>
                <w:bCs/>
                <w:sz w:val="24"/>
                <w:szCs w:val="22"/>
              </w:rPr>
            </w:pPr>
          </w:p>
        </w:tc>
        <w:tc>
          <w:tcPr>
            <w:tcW w:w="3237" w:type="dxa"/>
            <w:shd w:val="clear" w:color="auto" w:fill="auto"/>
            <w:vAlign w:val="center"/>
          </w:tcPr>
          <w:p>
            <w:pPr>
              <w:spacing w:line="500" w:lineRule="exact"/>
              <w:ind w:firstLine="0" w:firstLineChars="0"/>
              <w:jc w:val="center"/>
              <w:rPr>
                <w:rFonts w:ascii="宋体" w:hAnsi="宋体" w:eastAsia="宋体" w:cs="宋体"/>
                <w:kern w:val="0"/>
                <w:sz w:val="24"/>
              </w:rPr>
            </w:pPr>
            <w:r>
              <w:rPr>
                <w:rFonts w:hint="eastAsia" w:ascii="宋体" w:hAnsi="宋体" w:eastAsia="宋体" w:cs="宋体"/>
                <w:kern w:val="0"/>
                <w:sz w:val="24"/>
              </w:rPr>
              <w:t>推进重点领域改革</w:t>
            </w:r>
          </w:p>
        </w:tc>
        <w:tc>
          <w:tcPr>
            <w:tcW w:w="1021" w:type="dxa"/>
            <w:tcBorders>
              <w:right w:val="nil"/>
            </w:tcBorders>
            <w:shd w:val="clear" w:color="auto" w:fill="auto"/>
            <w:vAlign w:val="center"/>
          </w:tcPr>
          <w:p>
            <w:pPr>
              <w:spacing w:line="500" w:lineRule="exact"/>
              <w:ind w:firstLine="0" w:firstLineChars="0"/>
              <w:jc w:val="center"/>
              <w:rPr>
                <w:rFonts w:ascii="宋体" w:hAnsi="宋体" w:eastAsia="宋体" w:cs="宋体"/>
                <w:kern w:val="0"/>
                <w:sz w:val="24"/>
              </w:rPr>
            </w:pPr>
            <w:r>
              <w:rPr>
                <w:rFonts w:hint="eastAsia" w:ascii="宋体" w:hAnsi="宋体" w:eastAsia="宋体" w:cs="宋体"/>
                <w:kern w:val="0"/>
                <w:sz w:val="24"/>
              </w:rPr>
              <w:t>96.67%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6" w:type="dxa"/>
            <w:vMerge w:val="continue"/>
            <w:tcBorders>
              <w:left w:val="nil"/>
            </w:tcBorders>
            <w:shd w:val="clear" w:color="auto" w:fill="auto"/>
            <w:vAlign w:val="center"/>
          </w:tcPr>
          <w:p>
            <w:pPr>
              <w:spacing w:line="500" w:lineRule="exact"/>
              <w:ind w:firstLine="0" w:firstLineChars="0"/>
              <w:jc w:val="center"/>
              <w:rPr>
                <w:rFonts w:ascii="宋体" w:hAnsi="宋体" w:eastAsia="宋体" w:cs="宋体"/>
                <w:bCs/>
                <w:sz w:val="24"/>
                <w:szCs w:val="22"/>
              </w:rPr>
            </w:pPr>
          </w:p>
        </w:tc>
        <w:tc>
          <w:tcPr>
            <w:tcW w:w="2126" w:type="dxa"/>
            <w:vMerge w:val="continue"/>
            <w:shd w:val="clear" w:color="auto" w:fill="auto"/>
            <w:vAlign w:val="center"/>
          </w:tcPr>
          <w:p>
            <w:pPr>
              <w:spacing w:line="500" w:lineRule="exact"/>
              <w:ind w:firstLine="0" w:firstLineChars="0"/>
              <w:jc w:val="center"/>
              <w:rPr>
                <w:rFonts w:ascii="宋体" w:hAnsi="宋体" w:eastAsia="宋体" w:cs="宋体"/>
                <w:bCs/>
                <w:sz w:val="24"/>
                <w:szCs w:val="22"/>
              </w:rPr>
            </w:pPr>
          </w:p>
        </w:tc>
        <w:tc>
          <w:tcPr>
            <w:tcW w:w="3237" w:type="dxa"/>
            <w:shd w:val="clear" w:color="auto" w:fill="auto"/>
            <w:vAlign w:val="center"/>
          </w:tcPr>
          <w:p>
            <w:pPr>
              <w:spacing w:line="500" w:lineRule="exact"/>
              <w:ind w:firstLine="0" w:firstLineChars="0"/>
              <w:jc w:val="center"/>
              <w:rPr>
                <w:rFonts w:ascii="宋体" w:hAnsi="宋体" w:eastAsia="宋体" w:cs="宋体"/>
                <w:kern w:val="0"/>
                <w:sz w:val="24"/>
              </w:rPr>
            </w:pPr>
            <w:r>
              <w:rPr>
                <w:rFonts w:hint="eastAsia" w:ascii="宋体" w:hAnsi="宋体" w:eastAsia="宋体" w:cs="宋体"/>
                <w:kern w:val="0"/>
                <w:sz w:val="24"/>
              </w:rPr>
              <w:t>提升机构编制法治意识</w:t>
            </w:r>
          </w:p>
        </w:tc>
        <w:tc>
          <w:tcPr>
            <w:tcW w:w="1021" w:type="dxa"/>
            <w:tcBorders>
              <w:right w:val="nil"/>
            </w:tcBorders>
            <w:shd w:val="clear" w:color="auto" w:fill="auto"/>
            <w:vAlign w:val="center"/>
          </w:tcPr>
          <w:p>
            <w:pPr>
              <w:spacing w:line="500" w:lineRule="exact"/>
              <w:ind w:firstLine="0" w:firstLineChars="0"/>
              <w:jc w:val="center"/>
              <w:rPr>
                <w:rFonts w:ascii="宋体" w:hAnsi="宋体" w:eastAsia="宋体" w:cs="宋体"/>
                <w:kern w:val="0"/>
                <w:sz w:val="24"/>
              </w:rPr>
            </w:pPr>
            <w:r>
              <w:rPr>
                <w:rFonts w:hint="eastAsia" w:ascii="宋体" w:hAnsi="宋体" w:eastAsia="宋体" w:cs="宋体"/>
                <w:kern w:val="0"/>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6" w:type="dxa"/>
            <w:vMerge w:val="continue"/>
            <w:tcBorders>
              <w:left w:val="nil"/>
            </w:tcBorders>
            <w:shd w:val="clear" w:color="auto" w:fill="auto"/>
            <w:vAlign w:val="center"/>
          </w:tcPr>
          <w:p>
            <w:pPr>
              <w:spacing w:line="500" w:lineRule="exact"/>
              <w:ind w:firstLine="0" w:firstLineChars="0"/>
              <w:jc w:val="center"/>
              <w:rPr>
                <w:rFonts w:ascii="宋体" w:hAnsi="宋体" w:eastAsia="宋体" w:cs="宋体"/>
                <w:b/>
                <w:sz w:val="24"/>
                <w:szCs w:val="22"/>
                <w:u w:val="single"/>
              </w:rPr>
            </w:pPr>
          </w:p>
        </w:tc>
        <w:tc>
          <w:tcPr>
            <w:tcW w:w="2126" w:type="dxa"/>
            <w:vMerge w:val="restart"/>
            <w:shd w:val="clear" w:color="auto" w:fill="auto"/>
            <w:vAlign w:val="center"/>
          </w:tcPr>
          <w:p>
            <w:pPr>
              <w:spacing w:line="500" w:lineRule="exact"/>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可持续影响</w:t>
            </w:r>
          </w:p>
          <w:p>
            <w:pPr>
              <w:spacing w:line="500" w:lineRule="exact"/>
              <w:ind w:firstLine="0" w:firstLineChars="0"/>
              <w:jc w:val="center"/>
              <w:rPr>
                <w:rFonts w:ascii="宋体" w:hAnsi="宋体" w:eastAsia="宋体" w:cs="宋体"/>
                <w:b/>
                <w:sz w:val="24"/>
                <w:szCs w:val="22"/>
                <w:u w:val="single"/>
              </w:rPr>
            </w:pPr>
            <w:r>
              <w:rPr>
                <w:rFonts w:hint="eastAsia" w:ascii="宋体" w:hAnsi="宋体" w:eastAsia="宋体" w:cs="宋体"/>
                <w:bCs/>
                <w:sz w:val="24"/>
                <w:szCs w:val="22"/>
              </w:rPr>
              <w:t>得分率：100%</w:t>
            </w:r>
          </w:p>
        </w:tc>
        <w:tc>
          <w:tcPr>
            <w:tcW w:w="3237" w:type="dxa"/>
            <w:shd w:val="clear" w:color="auto" w:fill="auto"/>
            <w:vAlign w:val="center"/>
          </w:tcPr>
          <w:p>
            <w:pPr>
              <w:spacing w:line="500" w:lineRule="exact"/>
              <w:ind w:firstLine="0" w:firstLineChars="0"/>
              <w:jc w:val="center"/>
              <w:rPr>
                <w:rFonts w:ascii="宋体" w:hAnsi="宋体" w:eastAsia="宋体" w:cs="宋体"/>
                <w:bCs/>
                <w:sz w:val="24"/>
                <w:szCs w:val="22"/>
              </w:rPr>
            </w:pPr>
            <w:r>
              <w:rPr>
                <w:rFonts w:hint="eastAsia" w:ascii="宋体" w:hAnsi="宋体" w:eastAsia="宋体" w:cs="宋体"/>
                <w:kern w:val="0"/>
                <w:sz w:val="24"/>
              </w:rPr>
              <w:t>提高机构编制管理服务水平</w:t>
            </w:r>
          </w:p>
        </w:tc>
        <w:tc>
          <w:tcPr>
            <w:tcW w:w="1021" w:type="dxa"/>
            <w:tcBorders>
              <w:right w:val="nil"/>
            </w:tcBorders>
            <w:shd w:val="clear" w:color="auto" w:fill="auto"/>
            <w:vAlign w:val="center"/>
          </w:tcPr>
          <w:p>
            <w:pPr>
              <w:adjustRightInd w:val="0"/>
              <w:snapToGrid w:val="0"/>
              <w:spacing w:line="500" w:lineRule="exact"/>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6" w:type="dxa"/>
            <w:vMerge w:val="continue"/>
            <w:tcBorders>
              <w:left w:val="nil"/>
            </w:tcBorders>
            <w:shd w:val="clear" w:color="auto" w:fill="auto"/>
            <w:vAlign w:val="center"/>
          </w:tcPr>
          <w:p>
            <w:pPr>
              <w:spacing w:line="500" w:lineRule="exact"/>
              <w:ind w:firstLine="0" w:firstLineChars="0"/>
              <w:jc w:val="center"/>
              <w:rPr>
                <w:rFonts w:ascii="宋体" w:hAnsi="宋体" w:eastAsia="宋体" w:cs="宋体"/>
                <w:b/>
                <w:sz w:val="24"/>
                <w:szCs w:val="22"/>
                <w:u w:val="single"/>
              </w:rPr>
            </w:pPr>
          </w:p>
        </w:tc>
        <w:tc>
          <w:tcPr>
            <w:tcW w:w="2126" w:type="dxa"/>
            <w:vMerge w:val="continue"/>
            <w:shd w:val="clear" w:color="auto" w:fill="auto"/>
            <w:vAlign w:val="center"/>
          </w:tcPr>
          <w:p>
            <w:pPr>
              <w:spacing w:line="500" w:lineRule="exact"/>
              <w:ind w:firstLine="0" w:firstLineChars="0"/>
              <w:jc w:val="center"/>
              <w:rPr>
                <w:rFonts w:ascii="宋体" w:hAnsi="宋体" w:eastAsia="宋体" w:cs="宋体"/>
                <w:bCs/>
                <w:sz w:val="24"/>
                <w:szCs w:val="22"/>
              </w:rPr>
            </w:pPr>
          </w:p>
        </w:tc>
        <w:tc>
          <w:tcPr>
            <w:tcW w:w="3237" w:type="dxa"/>
            <w:shd w:val="clear" w:color="auto" w:fill="auto"/>
            <w:vAlign w:val="center"/>
          </w:tcPr>
          <w:p>
            <w:pPr>
              <w:spacing w:line="500" w:lineRule="exact"/>
              <w:ind w:firstLine="0" w:firstLineChars="0"/>
              <w:jc w:val="center"/>
              <w:rPr>
                <w:rFonts w:ascii="宋体" w:hAnsi="宋体" w:eastAsia="宋体" w:cs="宋体"/>
                <w:bCs/>
                <w:sz w:val="24"/>
                <w:szCs w:val="22"/>
              </w:rPr>
            </w:pPr>
            <w:r>
              <w:rPr>
                <w:rFonts w:hint="eastAsia" w:ascii="宋体" w:hAnsi="宋体" w:eastAsia="宋体" w:cs="宋体"/>
                <w:kern w:val="0"/>
                <w:sz w:val="24"/>
              </w:rPr>
              <w:t>建立健全部门协作机制</w:t>
            </w:r>
          </w:p>
        </w:tc>
        <w:tc>
          <w:tcPr>
            <w:tcW w:w="1021" w:type="dxa"/>
            <w:tcBorders>
              <w:right w:val="nil"/>
            </w:tcBorders>
            <w:shd w:val="clear" w:color="auto" w:fill="auto"/>
            <w:vAlign w:val="center"/>
          </w:tcPr>
          <w:p>
            <w:pPr>
              <w:adjustRightInd w:val="0"/>
              <w:snapToGrid w:val="0"/>
              <w:spacing w:line="500" w:lineRule="exact"/>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jc w:val="center"/>
        </w:trPr>
        <w:tc>
          <w:tcPr>
            <w:tcW w:w="1276" w:type="dxa"/>
            <w:vMerge w:val="continue"/>
            <w:tcBorders>
              <w:left w:val="nil"/>
            </w:tcBorders>
            <w:shd w:val="clear" w:color="auto" w:fill="auto"/>
            <w:vAlign w:val="center"/>
          </w:tcPr>
          <w:p>
            <w:pPr>
              <w:spacing w:line="500" w:lineRule="exact"/>
              <w:ind w:firstLine="0" w:firstLineChars="0"/>
              <w:jc w:val="center"/>
              <w:rPr>
                <w:rFonts w:ascii="宋体" w:hAnsi="宋体" w:eastAsia="宋体" w:cs="宋体"/>
                <w:b/>
                <w:sz w:val="24"/>
                <w:szCs w:val="22"/>
                <w:u w:val="single"/>
              </w:rPr>
            </w:pPr>
          </w:p>
        </w:tc>
        <w:tc>
          <w:tcPr>
            <w:tcW w:w="2126" w:type="dxa"/>
            <w:vMerge w:val="continue"/>
            <w:shd w:val="clear" w:color="auto" w:fill="auto"/>
            <w:vAlign w:val="center"/>
          </w:tcPr>
          <w:p>
            <w:pPr>
              <w:spacing w:line="500" w:lineRule="exact"/>
              <w:ind w:firstLine="0" w:firstLineChars="0"/>
              <w:jc w:val="center"/>
              <w:rPr>
                <w:rFonts w:ascii="宋体" w:hAnsi="宋体" w:eastAsia="宋体" w:cs="宋体"/>
                <w:bCs/>
                <w:sz w:val="24"/>
                <w:szCs w:val="22"/>
              </w:rPr>
            </w:pPr>
          </w:p>
        </w:tc>
        <w:tc>
          <w:tcPr>
            <w:tcW w:w="3237" w:type="dxa"/>
            <w:shd w:val="clear" w:color="auto" w:fill="auto"/>
            <w:vAlign w:val="center"/>
          </w:tcPr>
          <w:p>
            <w:pPr>
              <w:spacing w:line="500" w:lineRule="exact"/>
              <w:ind w:firstLine="0" w:firstLineChars="0"/>
              <w:jc w:val="center"/>
              <w:rPr>
                <w:rFonts w:ascii="宋体" w:hAnsi="宋体" w:eastAsia="宋体" w:cs="宋体"/>
                <w:bCs/>
                <w:sz w:val="24"/>
                <w:szCs w:val="22"/>
              </w:rPr>
            </w:pPr>
            <w:r>
              <w:rPr>
                <w:rFonts w:hint="eastAsia" w:ascii="宋体" w:hAnsi="宋体" w:eastAsia="宋体" w:cs="宋体"/>
                <w:kern w:val="0"/>
                <w:sz w:val="24"/>
              </w:rPr>
              <w:t>建立信息共享机制</w:t>
            </w:r>
          </w:p>
        </w:tc>
        <w:tc>
          <w:tcPr>
            <w:tcW w:w="1021" w:type="dxa"/>
            <w:tcBorders>
              <w:right w:val="nil"/>
            </w:tcBorders>
            <w:shd w:val="clear" w:color="auto" w:fill="auto"/>
            <w:vAlign w:val="center"/>
          </w:tcPr>
          <w:p>
            <w:pPr>
              <w:adjustRightInd w:val="0"/>
              <w:snapToGrid w:val="0"/>
              <w:spacing w:line="500" w:lineRule="exact"/>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8" w:hRule="atLeast"/>
          <w:jc w:val="center"/>
        </w:trPr>
        <w:tc>
          <w:tcPr>
            <w:tcW w:w="1276" w:type="dxa"/>
            <w:vMerge w:val="continue"/>
            <w:tcBorders>
              <w:left w:val="nil"/>
            </w:tcBorders>
            <w:shd w:val="clear" w:color="auto" w:fill="auto"/>
            <w:vAlign w:val="center"/>
          </w:tcPr>
          <w:p>
            <w:pPr>
              <w:spacing w:line="500" w:lineRule="exact"/>
              <w:ind w:firstLine="0" w:firstLineChars="0"/>
              <w:jc w:val="center"/>
              <w:rPr>
                <w:rFonts w:ascii="宋体" w:hAnsi="宋体" w:eastAsia="宋体" w:cs="宋体"/>
                <w:b/>
                <w:sz w:val="24"/>
                <w:szCs w:val="22"/>
                <w:u w:val="single"/>
              </w:rPr>
            </w:pPr>
          </w:p>
        </w:tc>
        <w:tc>
          <w:tcPr>
            <w:tcW w:w="2126" w:type="dxa"/>
            <w:shd w:val="clear" w:color="auto" w:fill="auto"/>
            <w:vAlign w:val="center"/>
          </w:tcPr>
          <w:p>
            <w:pPr>
              <w:spacing w:line="500" w:lineRule="exact"/>
              <w:ind w:firstLine="0" w:firstLineChars="0"/>
              <w:jc w:val="center"/>
              <w:rPr>
                <w:rFonts w:ascii="宋体" w:hAnsi="宋体" w:eastAsia="宋体" w:cs="宋体"/>
                <w:b/>
                <w:sz w:val="24"/>
                <w:szCs w:val="22"/>
                <w:u w:val="single"/>
              </w:rPr>
            </w:pPr>
            <w:r>
              <w:rPr>
                <w:rFonts w:hint="eastAsia" w:ascii="宋体" w:hAnsi="宋体" w:eastAsia="宋体" w:cs="宋体"/>
                <w:b/>
                <w:sz w:val="24"/>
                <w:szCs w:val="22"/>
                <w:u w:val="single"/>
              </w:rPr>
              <w:t>满意度</w:t>
            </w:r>
          </w:p>
          <w:p>
            <w:pPr>
              <w:spacing w:line="500" w:lineRule="exact"/>
              <w:ind w:firstLine="0" w:firstLineChars="0"/>
              <w:jc w:val="center"/>
              <w:rPr>
                <w:rFonts w:ascii="宋体" w:hAnsi="宋体" w:eastAsia="宋体" w:cs="宋体"/>
                <w:bCs/>
                <w:sz w:val="24"/>
                <w:szCs w:val="22"/>
              </w:rPr>
            </w:pPr>
            <w:r>
              <w:rPr>
                <w:rFonts w:hint="eastAsia" w:ascii="宋体" w:hAnsi="宋体" w:eastAsia="宋体" w:cs="宋体"/>
                <w:bCs/>
                <w:sz w:val="24"/>
                <w:szCs w:val="22"/>
              </w:rPr>
              <w:t>得分率：100%</w:t>
            </w:r>
          </w:p>
        </w:tc>
        <w:tc>
          <w:tcPr>
            <w:tcW w:w="3237" w:type="dxa"/>
            <w:shd w:val="clear" w:color="auto" w:fill="auto"/>
            <w:vAlign w:val="center"/>
          </w:tcPr>
          <w:p>
            <w:pPr>
              <w:spacing w:line="500" w:lineRule="exact"/>
              <w:ind w:firstLine="0" w:firstLineChars="0"/>
              <w:jc w:val="center"/>
              <w:rPr>
                <w:rFonts w:ascii="宋体" w:hAnsi="宋体" w:eastAsia="宋体" w:cs="宋体"/>
                <w:bCs/>
                <w:sz w:val="24"/>
                <w:szCs w:val="22"/>
              </w:rPr>
            </w:pPr>
            <w:r>
              <w:rPr>
                <w:rFonts w:hint="eastAsia" w:ascii="宋体" w:hAnsi="宋体" w:eastAsia="宋体" w:cs="宋体"/>
                <w:kern w:val="0"/>
                <w:sz w:val="24"/>
              </w:rPr>
              <w:t>工作人员满意度</w:t>
            </w:r>
          </w:p>
        </w:tc>
        <w:tc>
          <w:tcPr>
            <w:tcW w:w="1021" w:type="dxa"/>
            <w:tcBorders>
              <w:right w:val="nil"/>
            </w:tcBorders>
            <w:shd w:val="clear" w:color="auto" w:fill="auto"/>
            <w:vAlign w:val="center"/>
          </w:tcPr>
          <w:p>
            <w:pPr>
              <w:adjustRightInd w:val="0"/>
              <w:snapToGrid w:val="0"/>
              <w:spacing w:line="500" w:lineRule="exact"/>
              <w:ind w:firstLine="0" w:firstLineChars="0"/>
              <w:jc w:val="center"/>
              <w:rPr>
                <w:rFonts w:ascii="宋体" w:hAnsi="宋体" w:eastAsia="宋体" w:cs="宋体"/>
                <w:i/>
                <w:iCs/>
                <w:sz w:val="24"/>
                <w:szCs w:val="22"/>
              </w:rPr>
            </w:pPr>
            <w:r>
              <w:rPr>
                <w:rFonts w:hint="eastAsia" w:ascii="宋体" w:hAnsi="宋体" w:eastAsia="宋体" w:cs="宋体"/>
                <w:i/>
                <w:iCs/>
                <w:sz w:val="24"/>
                <w:szCs w:val="2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639" w:type="dxa"/>
            <w:gridSpan w:val="3"/>
            <w:tcBorders>
              <w:left w:val="nil"/>
            </w:tcBorders>
            <w:shd w:val="clear" w:color="auto" w:fill="auto"/>
            <w:vAlign w:val="center"/>
          </w:tcPr>
          <w:p>
            <w:pPr>
              <w:spacing w:line="500" w:lineRule="exact"/>
              <w:ind w:firstLine="0" w:firstLineChars="0"/>
              <w:jc w:val="center"/>
              <w:rPr>
                <w:rFonts w:ascii="宋体" w:hAnsi="宋体" w:eastAsia="宋体" w:cs="宋体"/>
                <w:b/>
                <w:sz w:val="24"/>
                <w:szCs w:val="22"/>
              </w:rPr>
            </w:pPr>
            <w:r>
              <w:rPr>
                <w:rFonts w:hint="eastAsia" w:ascii="宋体" w:hAnsi="宋体" w:eastAsia="宋体" w:cs="宋体"/>
                <w:b/>
                <w:sz w:val="24"/>
                <w:szCs w:val="22"/>
              </w:rPr>
              <w:t>“效益”情况评级</w:t>
            </w:r>
          </w:p>
        </w:tc>
        <w:tc>
          <w:tcPr>
            <w:tcW w:w="1021" w:type="dxa"/>
            <w:tcBorders>
              <w:right w:val="nil"/>
            </w:tcBorders>
            <w:shd w:val="clear" w:color="auto" w:fill="auto"/>
            <w:vAlign w:val="center"/>
          </w:tcPr>
          <w:p>
            <w:pPr>
              <w:spacing w:line="500" w:lineRule="exact"/>
              <w:ind w:firstLine="0" w:firstLineChars="0"/>
              <w:jc w:val="center"/>
              <w:rPr>
                <w:rFonts w:ascii="宋体" w:hAnsi="宋体" w:eastAsia="宋体" w:cs="宋体"/>
                <w:b/>
                <w:sz w:val="24"/>
                <w:szCs w:val="22"/>
              </w:rPr>
            </w:pPr>
            <w:r>
              <w:rPr>
                <w:rFonts w:hint="eastAsia" w:ascii="宋体" w:hAnsi="宋体" w:eastAsia="宋体" w:cs="宋体"/>
                <w:b/>
                <w:sz w:val="24"/>
                <w:szCs w:val="22"/>
              </w:rPr>
              <w:t>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7" w:hRule="atLeast"/>
          <w:jc w:val="center"/>
        </w:trPr>
        <w:tc>
          <w:tcPr>
            <w:tcW w:w="7660" w:type="dxa"/>
            <w:gridSpan w:val="4"/>
            <w:tcBorders>
              <w:left w:val="nil"/>
              <w:bottom w:val="double" w:color="000000" w:sz="4" w:space="0"/>
              <w:right w:val="nil"/>
            </w:tcBorders>
            <w:shd w:val="clear" w:color="auto" w:fill="auto"/>
            <w:vAlign w:val="center"/>
          </w:tcPr>
          <w:p>
            <w:pPr>
              <w:spacing w:line="240" w:lineRule="auto"/>
              <w:ind w:firstLine="0" w:firstLineChars="0"/>
              <w:jc w:val="center"/>
              <w:rPr>
                <w:rFonts w:ascii="宋体" w:hAnsi="宋体" w:eastAsia="宋体" w:cs="宋体"/>
                <w:b/>
                <w:sz w:val="24"/>
                <w:szCs w:val="22"/>
              </w:rPr>
            </w:pPr>
            <w:r>
              <w:drawing>
                <wp:inline distT="0" distB="0" distL="114300" distR="114300">
                  <wp:extent cx="4504055" cy="2797175"/>
                  <wp:effectExtent l="0" t="0" r="0" b="0"/>
                  <wp:docPr id="4"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r>
    </w:tbl>
    <w:p>
      <w:pPr>
        <w:spacing w:line="360" w:lineRule="auto"/>
        <w:ind w:firstLine="643"/>
        <w:rPr>
          <w:rFonts w:cs="仿宋_GB2312"/>
          <w:b/>
          <w:bCs/>
          <w:szCs w:val="32"/>
        </w:rPr>
      </w:pPr>
      <w:r>
        <w:rPr>
          <w:rFonts w:hint="eastAsia" w:cs="仿宋_GB2312"/>
          <w:b/>
          <w:bCs/>
          <w:szCs w:val="32"/>
        </w:rPr>
        <w:t>1.社会效益（11.8分）（-0.2分）</w:t>
      </w:r>
    </w:p>
    <w:p>
      <w:pPr>
        <w:spacing w:line="360" w:lineRule="auto"/>
        <w:rPr>
          <w:rFonts w:cs="仿宋_GB2312"/>
          <w:szCs w:val="32"/>
        </w:rPr>
      </w:pPr>
      <w:r>
        <w:rPr>
          <w:rFonts w:hint="eastAsia" w:cs="仿宋_GB2312"/>
          <w:szCs w:val="32"/>
        </w:rPr>
        <w:t>社会效益指标分值12分，得分为11.8分。</w:t>
      </w:r>
      <w:r>
        <w:rPr>
          <w:rFonts w:hint="eastAsia" w:cs="仿宋_GB2312"/>
        </w:rPr>
        <w:t>省委编</w:t>
      </w:r>
      <w:r>
        <w:rPr>
          <w:rFonts w:cs="仿宋_GB2312"/>
        </w:rPr>
        <w:t>办</w:t>
      </w:r>
      <w:r>
        <w:rPr>
          <w:rFonts w:hint="eastAsia" w:cs="仿宋_GB2312"/>
          <w:szCs w:val="32"/>
        </w:rPr>
        <w:t>2020年专项业务费项目的实施在巩固深化机构改革成果、优化编制资源配置、推进重点领域改革、提升机构编制法治意识等方面发挥了良好的社会效益。</w:t>
      </w:r>
    </w:p>
    <w:p>
      <w:pPr>
        <w:spacing w:line="360" w:lineRule="auto"/>
        <w:ind w:firstLine="643"/>
        <w:rPr>
          <w:rFonts w:cs="仿宋_GB2312"/>
          <w:b/>
          <w:bCs/>
          <w:szCs w:val="32"/>
        </w:rPr>
      </w:pPr>
      <w:r>
        <w:rPr>
          <w:rFonts w:hint="eastAsia" w:cs="仿宋_GB2312"/>
          <w:b/>
          <w:bCs/>
          <w:szCs w:val="32"/>
        </w:rPr>
        <w:t>（1）巩固深化机构改革成果（2.9分）（-0.1分）</w:t>
      </w:r>
    </w:p>
    <w:p>
      <w:pPr>
        <w:spacing w:line="360" w:lineRule="auto"/>
        <w:rPr>
          <w:rFonts w:cs="仿宋_GB2312"/>
          <w:szCs w:val="32"/>
        </w:rPr>
      </w:pPr>
      <w:r>
        <w:rPr>
          <w:rFonts w:hint="eastAsia" w:cs="仿宋_GB2312"/>
          <w:szCs w:val="32"/>
        </w:rPr>
        <w:t>巩固深化机构改革成果指标分值3分，得分为</w:t>
      </w:r>
      <w:r>
        <w:rPr>
          <w:rFonts w:cs="仿宋_GB2312"/>
          <w:szCs w:val="32"/>
        </w:rPr>
        <w:t>2.9</w:t>
      </w:r>
      <w:r>
        <w:rPr>
          <w:rFonts w:hint="eastAsia" w:cs="仿宋_GB2312"/>
          <w:szCs w:val="32"/>
        </w:rPr>
        <w:t>分。根据查阅项目档案及实地座谈，2020年，</w:t>
      </w:r>
      <w:r>
        <w:rPr>
          <w:rFonts w:hint="eastAsia" w:cs="仿宋_GB2312"/>
        </w:rPr>
        <w:t>省委编</w:t>
      </w:r>
      <w:r>
        <w:rPr>
          <w:rFonts w:cs="仿宋_GB2312"/>
        </w:rPr>
        <w:t>办</w:t>
      </w:r>
      <w:r>
        <w:rPr>
          <w:rFonts w:hint="eastAsia" w:cs="仿宋_GB2312"/>
          <w:szCs w:val="32"/>
        </w:rPr>
        <w:t>持续巩固深化机构改革成果，完善加强党的全面领导的制度安排，在各级党校（行政学院）实行校（院）务委员会领导体制，调整并重新核定甘肃社会主义学院、兰州新区职教园区服务保障中心、甘肃警察职业学院领导职数。健全政府职责体系，公布各级政府工作部门权责事项，制定《甘肃省政府工作部门权责清单管理办法》。督促各级各部门严格履行“三定”规定，及时核销违规或自行设置的领导职数。项目满意度调查结果显示，项目实施对巩固深化机构改革成果的成效显著的满意度为96.3%。</w:t>
      </w:r>
    </w:p>
    <w:p>
      <w:pPr>
        <w:spacing w:line="360" w:lineRule="auto"/>
        <w:rPr>
          <w:rFonts w:cs="仿宋_GB2312"/>
          <w:szCs w:val="32"/>
        </w:rPr>
      </w:pPr>
      <w:r>
        <w:rPr>
          <w:rFonts w:hint="eastAsia" w:cs="仿宋_GB2312"/>
          <w:szCs w:val="32"/>
        </w:rPr>
        <w:t>根据指标体系评分标准，指标得分＝96.3%*3分＝2.9分，得分为2.9分。</w:t>
      </w:r>
    </w:p>
    <w:p>
      <w:pPr>
        <w:spacing w:line="360" w:lineRule="auto"/>
        <w:ind w:firstLine="643"/>
        <w:rPr>
          <w:rFonts w:cs="仿宋_GB2312"/>
          <w:b/>
          <w:bCs/>
          <w:szCs w:val="32"/>
        </w:rPr>
      </w:pPr>
      <w:r>
        <w:rPr>
          <w:rFonts w:hint="eastAsia" w:cs="仿宋_GB2312"/>
          <w:b/>
          <w:bCs/>
          <w:szCs w:val="32"/>
        </w:rPr>
        <w:t>（2）优化编制资源配置（3分）</w:t>
      </w:r>
    </w:p>
    <w:p>
      <w:pPr>
        <w:spacing w:line="360" w:lineRule="auto"/>
        <w:rPr>
          <w:rFonts w:cs="仿宋_GB2312"/>
          <w:szCs w:val="32"/>
        </w:rPr>
      </w:pPr>
      <w:r>
        <w:rPr>
          <w:rFonts w:hint="eastAsia" w:cs="仿宋_GB2312"/>
          <w:szCs w:val="32"/>
        </w:rPr>
        <w:t>优化编制资源配置指标分值3分，得分为3分。根据查阅项目档案及实地座谈，2020年，</w:t>
      </w:r>
      <w:r>
        <w:rPr>
          <w:rFonts w:hint="eastAsia" w:cs="仿宋_GB2312"/>
        </w:rPr>
        <w:t>省委编</w:t>
      </w:r>
      <w:r>
        <w:rPr>
          <w:rFonts w:cs="仿宋_GB2312"/>
        </w:rPr>
        <w:t>办</w:t>
      </w:r>
      <w:r>
        <w:rPr>
          <w:rFonts w:hint="eastAsia" w:cs="仿宋_GB2312"/>
          <w:szCs w:val="32"/>
        </w:rPr>
        <w:t>坚持瘦身与健身相结合，将有限的编制资源用在落实党中央重大决策部署、推动全省经济社会发展的重点领域。聚焦教育卫生、应急安全、生态环境保护、巡视工作、政协理论研究、民主党派群众团体、统计执法监督等领域，加大统筹调配力度，做到保障有力、服务到位。做好事业编制挖潜增效，着力破解严控总量与满足事业发展需要之间的矛盾，从市州公路局上收事业空编向基层一线倾斜，分别调剂1000名、500名、202名事业编制用于保障高层次人才引进、村党支部书记专职化、符合条件的援鄂医护人员入编需要，并在总量内优化教育、无线电监测、核工业等领域编制资源配置。积极探索编制资源集约化利用、科学化管理的途径，指导平凉市开展事业编制“周转池”试点工作。积极争取解决原兰州医学院2所附属医院遗留问题。项目满意度调查结果显示，项目实施对优化编制资源配置的成效显著的满意度为100%。</w:t>
      </w:r>
    </w:p>
    <w:p>
      <w:pPr>
        <w:spacing w:line="360" w:lineRule="auto"/>
        <w:rPr>
          <w:rFonts w:cs="仿宋_GB2312"/>
          <w:szCs w:val="32"/>
        </w:rPr>
      </w:pPr>
      <w:r>
        <w:rPr>
          <w:rFonts w:hint="eastAsia" w:cs="仿宋_GB2312"/>
          <w:szCs w:val="32"/>
        </w:rPr>
        <w:t>根据指标体系评分标准，项目实施后，进一步优化了我省编制资源的有效配置。指标得分为3分。</w:t>
      </w:r>
    </w:p>
    <w:p>
      <w:pPr>
        <w:spacing w:line="360" w:lineRule="auto"/>
        <w:ind w:firstLine="643"/>
        <w:rPr>
          <w:rFonts w:cs="仿宋_GB2312"/>
          <w:b/>
          <w:bCs/>
          <w:szCs w:val="32"/>
        </w:rPr>
      </w:pPr>
      <w:r>
        <w:rPr>
          <w:rFonts w:hint="eastAsia" w:cs="仿宋_GB2312"/>
          <w:b/>
          <w:bCs/>
          <w:szCs w:val="32"/>
        </w:rPr>
        <w:t>（3）推进重点领域改革（2.9分）（-0.1分）</w:t>
      </w:r>
    </w:p>
    <w:p>
      <w:pPr>
        <w:spacing w:line="360" w:lineRule="auto"/>
        <w:rPr>
          <w:rFonts w:cs="仿宋_GB2312"/>
          <w:szCs w:val="32"/>
        </w:rPr>
      </w:pPr>
      <w:r>
        <w:rPr>
          <w:rFonts w:hint="eastAsia" w:cs="仿宋_GB2312"/>
          <w:szCs w:val="32"/>
        </w:rPr>
        <w:t>推进重点领域改革指标分值3分，得分为</w:t>
      </w:r>
      <w:r>
        <w:rPr>
          <w:rFonts w:cs="仿宋_GB2312"/>
          <w:szCs w:val="32"/>
        </w:rPr>
        <w:t>2.9</w:t>
      </w:r>
      <w:r>
        <w:rPr>
          <w:rFonts w:hint="eastAsia" w:cs="仿宋_GB2312"/>
          <w:szCs w:val="32"/>
        </w:rPr>
        <w:t>分。根据查阅项目档案及实地座谈，2020年，</w:t>
      </w:r>
      <w:r>
        <w:rPr>
          <w:rFonts w:hint="eastAsia" w:cs="仿宋_GB2312"/>
        </w:rPr>
        <w:t>省委编</w:t>
      </w:r>
      <w:r>
        <w:rPr>
          <w:rFonts w:cs="仿宋_GB2312"/>
        </w:rPr>
        <w:t>办</w:t>
      </w:r>
      <w:r>
        <w:rPr>
          <w:rFonts w:hint="eastAsia" w:cs="仿宋_GB2312"/>
          <w:szCs w:val="32"/>
        </w:rPr>
        <w:t>有序推进公共卫生管理、应急管理、文物保护、生态保护等重点领域改革，完善我省药品监管体制，建立派出机构和药品检查员队伍，构建精干高效、责任明确、覆盖广泛的药品监管体系。有序推进大熊猫国家公园、祁连山国家公园试点，以挂牌形式设立大熊猫祁连山国家公园甘肃省管理局分局及执法机构，加强资源环境执法工作。配合完成森林公安管理体制调整工作。</w:t>
      </w:r>
    </w:p>
    <w:p>
      <w:pPr>
        <w:spacing w:line="360" w:lineRule="auto"/>
        <w:rPr>
          <w:rFonts w:cs="仿宋_GB2312"/>
          <w:szCs w:val="32"/>
        </w:rPr>
      </w:pPr>
      <w:r>
        <w:rPr>
          <w:rFonts w:hint="eastAsia" w:cs="仿宋_GB2312"/>
          <w:szCs w:val="32"/>
        </w:rPr>
        <w:t>深入研究机构改革后文物管理、保护、研究、修复等机构职能情况，加大对各层级文物保护利用、考古研究工作的机构编制保障力度。积极推进军民融合发展，设立酒泉空军试验训练基地、酒泉卫星发射中心政务服务机构，妥善解决政务服务“最后一公里”和军属安置问题。大力弘扬和传承红色基因，设立南梁干部学院、玉门铁人干部学院、培黎职业学院。健全疫情防控体系，在兰州市肺科医院加挂甘肃省传染病医院、甘肃省公共卫生医疗救治中心牌子。围绕经济社会发展需要，设立兰州榆中生态创新城管理机构、社会治安综合治理中心、新时代文明实践中心办公室、大数据服务中心等机构。</w:t>
      </w:r>
    </w:p>
    <w:p>
      <w:pPr>
        <w:spacing w:line="360" w:lineRule="auto"/>
        <w:rPr>
          <w:rFonts w:cs="仿宋_GB2312"/>
          <w:szCs w:val="32"/>
        </w:rPr>
      </w:pPr>
      <w:r>
        <w:rPr>
          <w:rFonts w:hint="eastAsia" w:cs="仿宋_GB2312"/>
          <w:szCs w:val="32"/>
        </w:rPr>
        <w:t>项目满意度调查结果显示，项目实施对推进重点领域改革的成效显著的满意度为96.3%。</w:t>
      </w:r>
    </w:p>
    <w:p>
      <w:pPr>
        <w:spacing w:line="360" w:lineRule="auto"/>
        <w:rPr>
          <w:rFonts w:cs="仿宋_GB2312"/>
          <w:szCs w:val="32"/>
        </w:rPr>
      </w:pPr>
      <w:r>
        <w:rPr>
          <w:rFonts w:hint="eastAsia" w:cs="仿宋_GB2312"/>
          <w:szCs w:val="32"/>
        </w:rPr>
        <w:t>根据指标体系评分标准，指标得分＝96.3%*3分＝2.9分，得分为2.9分。</w:t>
      </w:r>
    </w:p>
    <w:p>
      <w:pPr>
        <w:spacing w:line="360" w:lineRule="auto"/>
        <w:ind w:firstLine="643"/>
        <w:rPr>
          <w:rFonts w:cs="仿宋_GB2312"/>
          <w:b/>
          <w:bCs/>
          <w:szCs w:val="32"/>
        </w:rPr>
      </w:pPr>
      <w:r>
        <w:rPr>
          <w:rFonts w:hint="eastAsia" w:cs="仿宋_GB2312"/>
          <w:b/>
          <w:bCs/>
          <w:szCs w:val="32"/>
        </w:rPr>
        <w:t>（4）提升机构编制法治意识（3分）</w:t>
      </w:r>
    </w:p>
    <w:p>
      <w:pPr>
        <w:spacing w:line="360" w:lineRule="auto"/>
        <w:rPr>
          <w:rFonts w:cs="仿宋_GB2312"/>
          <w:szCs w:val="32"/>
        </w:rPr>
      </w:pPr>
      <w:r>
        <w:rPr>
          <w:rFonts w:hint="eastAsia" w:cs="仿宋_GB2312"/>
          <w:szCs w:val="32"/>
        </w:rPr>
        <w:t>提升机构编制法治意识指标分值3分，得分为3分。根据查阅项目档案及实地座谈，2020年，</w:t>
      </w:r>
      <w:r>
        <w:rPr>
          <w:rFonts w:hint="eastAsia" w:cs="仿宋_GB2312"/>
        </w:rPr>
        <w:t>省委编</w:t>
      </w:r>
      <w:r>
        <w:rPr>
          <w:rFonts w:cs="仿宋_GB2312"/>
        </w:rPr>
        <w:t>办</w:t>
      </w:r>
      <w:r>
        <w:rPr>
          <w:rFonts w:hint="eastAsia" w:cs="仿宋_GB2312"/>
          <w:szCs w:val="32"/>
        </w:rPr>
        <w:t>持续深化《条例》学习宣传和贯彻落实，依托各级党校（行政学院）开展多渠道、多层次、多形式的教育培训，切实提高各级干部特别是领导干部机构编制法治意识。组织编写《条例》宣讲提纲，甘肃省委机构编制委员会办公室主要负责同志在省委党校主体班次上作了《条例》辅导报告。积极与省委组织部衔接，将习近平总书记关于机构编制工作重要论述及机构编制政策法规等内容纳入2021年度干部培训整体计划，举办两期专题培训班，组织各级干部学习了机构编制政策法规，不断增强各级领导干部运用法治思维、法治方式做好新时代机构编制工作的能力和水平。</w:t>
      </w:r>
    </w:p>
    <w:p>
      <w:pPr>
        <w:spacing w:line="360" w:lineRule="auto"/>
        <w:rPr>
          <w:rFonts w:cs="仿宋_GB2312"/>
          <w:b/>
          <w:bCs/>
          <w:szCs w:val="32"/>
        </w:rPr>
      </w:pPr>
      <w:r>
        <w:rPr>
          <w:rFonts w:hint="eastAsia" w:cs="仿宋_GB2312"/>
          <w:szCs w:val="32"/>
        </w:rPr>
        <w:t>根据指标体系评分标准，项目实施后，使我省机构编制法制意识得到了提升。指标得分为3分。</w:t>
      </w:r>
    </w:p>
    <w:p>
      <w:pPr>
        <w:spacing w:line="360" w:lineRule="auto"/>
        <w:ind w:firstLine="643"/>
        <w:rPr>
          <w:rFonts w:cs="仿宋_GB2312"/>
          <w:b/>
          <w:bCs/>
          <w:szCs w:val="32"/>
        </w:rPr>
      </w:pPr>
      <w:r>
        <w:rPr>
          <w:rFonts w:hint="eastAsia" w:cs="仿宋_GB2312"/>
          <w:b/>
          <w:bCs/>
          <w:szCs w:val="32"/>
        </w:rPr>
        <w:t>2.可持续影响（9分）</w:t>
      </w:r>
    </w:p>
    <w:p>
      <w:pPr>
        <w:spacing w:line="360" w:lineRule="auto"/>
        <w:rPr>
          <w:rFonts w:cs="仿宋_GB2312"/>
          <w:szCs w:val="32"/>
        </w:rPr>
      </w:pPr>
      <w:r>
        <w:rPr>
          <w:rFonts w:hint="eastAsia" w:cs="仿宋_GB2312"/>
          <w:szCs w:val="32"/>
        </w:rPr>
        <w:t>可持续影响指标分值9分，得分为9分。</w:t>
      </w:r>
      <w:r>
        <w:rPr>
          <w:rFonts w:hint="eastAsia" w:cs="仿宋_GB2312"/>
        </w:rPr>
        <w:t>省委编</w:t>
      </w:r>
      <w:r>
        <w:rPr>
          <w:rFonts w:cs="仿宋_GB2312"/>
        </w:rPr>
        <w:t>办</w:t>
      </w:r>
      <w:r>
        <w:rPr>
          <w:rFonts w:hint="eastAsia" w:cs="仿宋_GB2312"/>
          <w:szCs w:val="32"/>
        </w:rPr>
        <w:t>2020年专项业务费项目的实施对提升机构编制管理服务水平，建立健全部门协作机制，建立信息共享机制可持续影响作用积极。</w:t>
      </w:r>
    </w:p>
    <w:p>
      <w:pPr>
        <w:spacing w:line="360" w:lineRule="auto"/>
        <w:ind w:firstLine="643"/>
        <w:rPr>
          <w:rFonts w:cs="仿宋_GB2312"/>
          <w:b/>
          <w:bCs/>
          <w:szCs w:val="32"/>
        </w:rPr>
      </w:pPr>
      <w:r>
        <w:rPr>
          <w:rFonts w:hint="eastAsia" w:cs="仿宋_GB2312"/>
          <w:b/>
          <w:bCs/>
          <w:szCs w:val="32"/>
        </w:rPr>
        <w:t>（1）提升机构编制管理服务水平（3分）</w:t>
      </w:r>
    </w:p>
    <w:p>
      <w:pPr>
        <w:spacing w:line="360" w:lineRule="auto"/>
        <w:rPr>
          <w:rFonts w:cs="仿宋_GB2312"/>
          <w:szCs w:val="32"/>
        </w:rPr>
      </w:pPr>
      <w:r>
        <w:rPr>
          <w:rFonts w:hint="eastAsia" w:cs="仿宋_GB2312"/>
          <w:szCs w:val="32"/>
        </w:rPr>
        <w:t>提升机构编制管理服务水平指标分值3分，得分为3分。通过项目实施项目，</w:t>
      </w:r>
      <w:r>
        <w:rPr>
          <w:rFonts w:hint="eastAsia" w:cs="仿宋_GB2312"/>
        </w:rPr>
        <w:t>省委编</w:t>
      </w:r>
      <w:r>
        <w:rPr>
          <w:rFonts w:cs="仿宋_GB2312"/>
        </w:rPr>
        <w:t>办</w:t>
      </w:r>
      <w:r>
        <w:rPr>
          <w:rFonts w:hint="eastAsia" w:cs="仿宋_GB2312"/>
          <w:szCs w:val="32"/>
        </w:rPr>
        <w:t>通过一系列措施，提升了干部机构编制管理服务水平。一是持续深化《中国共产党机构编制工作条例》学习，组织起草《中共甘肃省委机构编制管理规定》，推动《条例》有效贯彻落实。二是加强和改进调查研究，围绕机构编制难点和社会关注热点问题，深入市县开展调研，破解改革发展中的体制机制难题和机构编制矛盾，积极配合省委组织部研究提出规范兰州新区机构编制和干部管理的意见。三是优化实名制业务办理流程，推行一个处室办理模式。定期分析研判我省实名制月报、季报数据，做好机构编制年报统计工作。四是持续简化法人登记和赋码办事流程，推行事业单位法人简易注销登记，适应疫情防控工作需要，开展“不见面”办理。五是推进登记管理信息化建设，畅通事业单位法人信息共享渠道。</w:t>
      </w:r>
    </w:p>
    <w:p>
      <w:pPr>
        <w:spacing w:line="360" w:lineRule="auto"/>
        <w:rPr>
          <w:rFonts w:cs="仿宋_GB2312"/>
          <w:szCs w:val="32"/>
        </w:rPr>
      </w:pPr>
      <w:r>
        <w:rPr>
          <w:rFonts w:hint="eastAsia" w:cs="仿宋_GB2312"/>
          <w:szCs w:val="32"/>
        </w:rPr>
        <w:t>根据指标体系评分标准，项目实施后，对提升干部机构编制管理服务水平可持续影响作用明显。指标得分为3分。</w:t>
      </w:r>
    </w:p>
    <w:p>
      <w:pPr>
        <w:spacing w:line="360" w:lineRule="auto"/>
        <w:ind w:firstLine="643"/>
        <w:rPr>
          <w:rFonts w:cs="仿宋_GB2312"/>
          <w:b/>
          <w:bCs/>
          <w:szCs w:val="32"/>
        </w:rPr>
      </w:pPr>
      <w:r>
        <w:rPr>
          <w:rFonts w:hint="eastAsia" w:cs="仿宋_GB2312"/>
          <w:b/>
          <w:bCs/>
          <w:szCs w:val="32"/>
        </w:rPr>
        <w:t>（2）建立健全部门协作机制（3分）</w:t>
      </w:r>
    </w:p>
    <w:p>
      <w:pPr>
        <w:spacing w:line="360" w:lineRule="auto"/>
        <w:rPr>
          <w:rFonts w:cs="仿宋_GB2312"/>
          <w:szCs w:val="32"/>
        </w:rPr>
      </w:pPr>
      <w:r>
        <w:rPr>
          <w:rFonts w:hint="eastAsia" w:cs="仿宋_GB2312"/>
          <w:szCs w:val="32"/>
        </w:rPr>
        <w:t>建立健全部门协作机制指标分值3分，得分为3分。2020年，</w:t>
      </w:r>
      <w:r>
        <w:rPr>
          <w:rFonts w:hint="eastAsia" w:cs="仿宋_GB2312"/>
        </w:rPr>
        <w:t>省委编</w:t>
      </w:r>
      <w:r>
        <w:rPr>
          <w:rFonts w:cs="仿宋_GB2312"/>
        </w:rPr>
        <w:t>办</w:t>
      </w:r>
      <w:r>
        <w:rPr>
          <w:rFonts w:hint="eastAsia" w:cs="仿宋_GB2312"/>
          <w:szCs w:val="32"/>
        </w:rPr>
        <w:t>通过加强与纪检监察机关、党委督查机构、巡视机构和组织、人事、审计等部门的协作配合，探索开展情况通报、信息共享、线索移送、整改反馈等工作，借势借力推动机构编制监督检查工作。</w:t>
      </w:r>
    </w:p>
    <w:p>
      <w:pPr>
        <w:spacing w:line="360" w:lineRule="auto"/>
        <w:rPr>
          <w:rFonts w:cs="仿宋_GB2312"/>
          <w:szCs w:val="32"/>
        </w:rPr>
      </w:pPr>
      <w:r>
        <w:rPr>
          <w:rFonts w:hint="eastAsia" w:cs="仿宋_GB2312"/>
          <w:szCs w:val="32"/>
        </w:rPr>
        <w:t>根据指标体系评分标准，项目实施后，对建立健全部门协作机制可持续影响作用明显。指标得分为3分。</w:t>
      </w:r>
    </w:p>
    <w:p>
      <w:pPr>
        <w:spacing w:line="360" w:lineRule="auto"/>
        <w:ind w:firstLine="643"/>
        <w:rPr>
          <w:rFonts w:cs="仿宋_GB2312"/>
          <w:b/>
          <w:bCs/>
          <w:szCs w:val="32"/>
        </w:rPr>
      </w:pPr>
      <w:r>
        <w:rPr>
          <w:rFonts w:hint="eastAsia" w:cs="仿宋_GB2312"/>
          <w:b/>
          <w:bCs/>
          <w:szCs w:val="32"/>
        </w:rPr>
        <w:t>（3）建立信息共享机制（3分）</w:t>
      </w:r>
    </w:p>
    <w:p>
      <w:pPr>
        <w:spacing w:line="360" w:lineRule="auto"/>
        <w:rPr>
          <w:rFonts w:cs="仿宋_GB2312"/>
          <w:szCs w:val="32"/>
        </w:rPr>
      </w:pPr>
      <w:r>
        <w:rPr>
          <w:rFonts w:hint="eastAsia" w:cs="仿宋_GB2312"/>
          <w:szCs w:val="32"/>
        </w:rPr>
        <w:t>建立信息共享机制指标分值3分，得分为3分。2020年，</w:t>
      </w:r>
      <w:r>
        <w:rPr>
          <w:rFonts w:hint="eastAsia" w:cs="仿宋_GB2312"/>
        </w:rPr>
        <w:t>省委编</w:t>
      </w:r>
      <w:r>
        <w:rPr>
          <w:rFonts w:cs="仿宋_GB2312"/>
        </w:rPr>
        <w:t>办</w:t>
      </w:r>
      <w:r>
        <w:rPr>
          <w:rFonts w:hint="eastAsia" w:cs="仿宋_GB2312"/>
          <w:szCs w:val="32"/>
        </w:rPr>
        <w:t>通过项目实施，一是在建立健全部门协作机制的基础上，与相关部门开展情况通报、信息共享、线索移送、整改反馈等工作，借势借力推动机构编制监督检查工作；二是完成机构编制实名制管理系统的升级改造，完善机构编制实名制管理，加快建设机构编制管理同组织、人事、财政预算管理共享的信息平台，逐步实现部门间信息数据共享共用。</w:t>
      </w:r>
    </w:p>
    <w:p>
      <w:pPr>
        <w:spacing w:line="360" w:lineRule="auto"/>
        <w:rPr>
          <w:rFonts w:cs="仿宋_GB2312"/>
          <w:b/>
          <w:bCs/>
          <w:szCs w:val="32"/>
        </w:rPr>
      </w:pPr>
      <w:r>
        <w:rPr>
          <w:rFonts w:hint="eastAsia" w:cs="仿宋_GB2312"/>
          <w:szCs w:val="32"/>
        </w:rPr>
        <w:t>根据指标体系评分标准，项目实施后，对建立信息共享机制可持续影响作用明显。指标得分为3分。</w:t>
      </w:r>
    </w:p>
    <w:p>
      <w:pPr>
        <w:spacing w:line="360" w:lineRule="auto"/>
        <w:ind w:firstLine="643"/>
        <w:rPr>
          <w:rFonts w:cs="仿宋_GB2312"/>
          <w:b/>
          <w:bCs/>
          <w:szCs w:val="32"/>
        </w:rPr>
      </w:pPr>
      <w:r>
        <w:rPr>
          <w:rFonts w:hint="eastAsia" w:cs="仿宋_GB2312"/>
          <w:b/>
          <w:bCs/>
          <w:szCs w:val="32"/>
        </w:rPr>
        <w:t>4.满意度（5分）</w:t>
      </w:r>
    </w:p>
    <w:p>
      <w:pPr>
        <w:spacing w:line="360" w:lineRule="auto"/>
        <w:rPr>
          <w:rFonts w:cs="仿宋_GB2312"/>
          <w:szCs w:val="32"/>
        </w:rPr>
      </w:pPr>
      <w:r>
        <w:rPr>
          <w:rFonts w:hint="eastAsia" w:cs="仿宋_GB2312"/>
          <w:szCs w:val="32"/>
        </w:rPr>
        <w:t>满意度指标分值5分，得分为5分。根据项目评价需要，结合</w:t>
      </w:r>
      <w:r>
        <w:rPr>
          <w:rFonts w:hint="eastAsia" w:cs="仿宋_GB2312"/>
        </w:rPr>
        <w:t>省委编</w:t>
      </w:r>
      <w:r>
        <w:rPr>
          <w:rFonts w:cs="仿宋_GB2312"/>
        </w:rPr>
        <w:t>办</w:t>
      </w:r>
      <w:r>
        <w:rPr>
          <w:rFonts w:hint="eastAsia" w:cs="仿宋_GB2312"/>
          <w:szCs w:val="32"/>
        </w:rPr>
        <w:t>专项业务费项目实施情况，项目评价组通过微信小程序开展了“甘肃省委机构编制委员会办公室2020年专项业务费项目实施满意度”的问卷调查，抽取一定数量的全省机构编制工作人员和机关事业单位工作人员随机进行问卷调查。主要调查对甘肃省委机构编制委员会办公室专项业务费使用整体效果的满意情况。</w:t>
      </w:r>
    </w:p>
    <w:p>
      <w:pPr>
        <w:spacing w:line="360" w:lineRule="auto"/>
        <w:ind w:firstLine="643"/>
        <w:rPr>
          <w:rFonts w:cs="仿宋_GB2312"/>
          <w:b/>
          <w:bCs/>
          <w:szCs w:val="32"/>
        </w:rPr>
      </w:pPr>
      <w:r>
        <w:rPr>
          <w:rFonts w:hint="eastAsia" w:cs="仿宋_GB2312"/>
          <w:b/>
          <w:bCs/>
          <w:szCs w:val="32"/>
        </w:rPr>
        <w:t>（1）工作人员满意度（5分）</w:t>
      </w:r>
    </w:p>
    <w:p>
      <w:pPr>
        <w:spacing w:line="360" w:lineRule="auto"/>
        <w:rPr>
          <w:rFonts w:cs="仿宋_GB2312"/>
          <w:szCs w:val="32"/>
        </w:rPr>
      </w:pPr>
      <w:r>
        <w:rPr>
          <w:rFonts w:hint="eastAsia" w:cs="仿宋_GB2312"/>
          <w:szCs w:val="32"/>
        </w:rPr>
        <w:t>工作人员满意度指标分值5分，得分为5分。根据对机构编制工作人员的问卷调查，对回收的有效调查问卷统计结果分析，</w:t>
      </w:r>
      <w:r>
        <w:rPr>
          <w:rFonts w:hint="eastAsia" w:cs="仿宋_GB2312"/>
        </w:rPr>
        <w:t>省委编</w:t>
      </w:r>
      <w:r>
        <w:rPr>
          <w:rFonts w:cs="仿宋_GB2312"/>
        </w:rPr>
        <w:t>办</w:t>
      </w:r>
      <w:r>
        <w:rPr>
          <w:rFonts w:hint="eastAsia" w:cs="仿宋_GB2312"/>
          <w:szCs w:val="32"/>
        </w:rPr>
        <w:t>工作人员对2020年专项业务费项目整体实施效果非常满意的占85.19%，对2020年专项业务费项目整体实施效果满意的占14.81%。总体分析结果显示：</w:t>
      </w:r>
      <w:r>
        <w:rPr>
          <w:rFonts w:hint="eastAsia" w:cs="仿宋_GB2312"/>
        </w:rPr>
        <w:t>省委编</w:t>
      </w:r>
      <w:r>
        <w:rPr>
          <w:rFonts w:cs="仿宋_GB2312"/>
        </w:rPr>
        <w:t>办</w:t>
      </w:r>
      <w:r>
        <w:rPr>
          <w:rFonts w:hint="eastAsia" w:cs="仿宋_GB2312"/>
          <w:szCs w:val="32"/>
        </w:rPr>
        <w:t>工作人员对2020年专项业务费项目整体实施效果的满意度为100%。</w:t>
      </w:r>
    </w:p>
    <w:p>
      <w:pPr>
        <w:spacing w:line="360" w:lineRule="auto"/>
        <w:rPr>
          <w:rFonts w:cs="仿宋_GB2312"/>
          <w:szCs w:val="32"/>
        </w:rPr>
      </w:pPr>
      <w:r>
        <w:drawing>
          <wp:inline distT="0" distB="0" distL="114300" distR="114300">
            <wp:extent cx="4572000" cy="2743200"/>
            <wp:effectExtent l="0" t="0" r="0" b="0"/>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pPr>
        <w:ind w:firstLine="0" w:firstLineChars="0"/>
        <w:jc w:val="center"/>
        <w:rPr>
          <w:rFonts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图2  项目受访者对项目实施总体满意度情况</w:t>
      </w:r>
    </w:p>
    <w:p>
      <w:pPr>
        <w:spacing w:line="360" w:lineRule="auto"/>
        <w:rPr>
          <w:rFonts w:cs="仿宋_GB2312"/>
          <w:szCs w:val="32"/>
        </w:rPr>
      </w:pPr>
      <w:r>
        <w:rPr>
          <w:rFonts w:hint="eastAsia" w:cs="仿宋_GB2312"/>
          <w:szCs w:val="32"/>
        </w:rPr>
        <w:t>根据指标体系评分标准，工作人员满意度100%。指标得分为5分。</w:t>
      </w:r>
    </w:p>
    <w:p>
      <w:pPr>
        <w:pStyle w:val="3"/>
        <w:keepNext w:val="0"/>
        <w:keepLines w:val="0"/>
        <w:spacing w:line="360" w:lineRule="auto"/>
        <w:ind w:firstLine="643"/>
        <w:rPr>
          <w:rFonts w:cs="仿宋_GB2312"/>
          <w:bCs/>
          <w:szCs w:val="32"/>
        </w:rPr>
      </w:pPr>
      <w:bookmarkStart w:id="67" w:name="_Toc10989"/>
      <w:r>
        <w:rPr>
          <w:rFonts w:hint="eastAsia" w:cs="黑体"/>
          <w:bCs/>
          <w:szCs w:val="32"/>
        </w:rPr>
        <w:fldChar w:fldCharType="begin"/>
      </w:r>
      <w:r>
        <w:rPr>
          <w:rFonts w:hint="eastAsia" w:cs="黑体"/>
          <w:bCs/>
          <w:szCs w:val="32"/>
        </w:rPr>
        <w:instrText xml:space="preserve"> HYPERLINK \l _Toc29493 </w:instrText>
      </w:r>
      <w:r>
        <w:rPr>
          <w:rFonts w:hint="eastAsia" w:cs="黑体"/>
          <w:bCs/>
          <w:szCs w:val="32"/>
        </w:rPr>
        <w:fldChar w:fldCharType="separate"/>
      </w:r>
      <w:r>
        <w:rPr>
          <w:rFonts w:hint="eastAsia" w:cs="黑体"/>
          <w:bCs/>
          <w:szCs w:val="32"/>
        </w:rPr>
        <w:t>六、项目主要经验及做法</w:t>
      </w:r>
      <w:r>
        <w:rPr>
          <w:rFonts w:hint="eastAsia" w:cs="黑体"/>
          <w:bCs/>
          <w:szCs w:val="32"/>
        </w:rPr>
        <w:fldChar w:fldCharType="end"/>
      </w:r>
      <w:bookmarkEnd w:id="66"/>
      <w:bookmarkEnd w:id="67"/>
    </w:p>
    <w:p>
      <w:pPr>
        <w:numPr>
          <w:ilvl w:val="0"/>
          <w:numId w:val="2"/>
        </w:numPr>
        <w:spacing w:line="360" w:lineRule="auto"/>
        <w:ind w:firstLine="643" w:firstLineChars="0"/>
        <w:rPr>
          <w:rFonts w:cs="仿宋_GB2312"/>
          <w:b/>
          <w:szCs w:val="32"/>
        </w:rPr>
      </w:pPr>
      <w:r>
        <w:rPr>
          <w:rFonts w:hint="eastAsia" w:cs="仿宋_GB2312"/>
          <w:b/>
          <w:szCs w:val="32"/>
        </w:rPr>
        <w:t>以第三方机构对建设项目审计为契机，进一步加强项目管理。</w:t>
      </w:r>
    </w:p>
    <w:p>
      <w:pPr>
        <w:spacing w:line="360" w:lineRule="auto"/>
        <w:rPr>
          <w:rFonts w:cs="仿宋_GB2312"/>
          <w:b/>
          <w:bCs/>
          <w:kern w:val="0"/>
          <w:szCs w:val="32"/>
        </w:rPr>
      </w:pPr>
      <w:r>
        <w:rPr>
          <w:rFonts w:hint="eastAsia" w:cs="仿宋_GB2312"/>
          <w:kern w:val="0"/>
          <w:szCs w:val="32"/>
        </w:rPr>
        <w:t>2019年4月，</w:t>
      </w:r>
      <w:r>
        <w:rPr>
          <w:rFonts w:hint="eastAsia" w:cs="仿宋_GB2312"/>
        </w:rPr>
        <w:t>省委编</w:t>
      </w:r>
      <w:r>
        <w:rPr>
          <w:rFonts w:cs="仿宋_GB2312"/>
        </w:rPr>
        <w:t>办</w:t>
      </w:r>
      <w:r>
        <w:rPr>
          <w:rFonts w:hint="eastAsia" w:cs="仿宋_GB2312"/>
          <w:kern w:val="0"/>
          <w:szCs w:val="32"/>
        </w:rPr>
        <w:t>委托北京国嘉瑞联合会计事务所对2011年以来实施的机构编制实名制等电子政务建设项目进行了审计，针对审计反馈的项目立项、执行、验收等程序不规范，财务内控制度不健全等问题，2020年</w:t>
      </w:r>
      <w:r>
        <w:rPr>
          <w:rFonts w:hint="eastAsia" w:cs="仿宋_GB2312"/>
        </w:rPr>
        <w:t>省委编</w:t>
      </w:r>
      <w:r>
        <w:rPr>
          <w:rFonts w:cs="仿宋_GB2312"/>
        </w:rPr>
        <w:t>办</w:t>
      </w:r>
      <w:r>
        <w:rPr>
          <w:rFonts w:hint="eastAsia" w:cs="仿宋_GB2312"/>
          <w:kern w:val="0"/>
          <w:szCs w:val="32"/>
        </w:rPr>
        <w:t>通过一系列整改措施，进一步加强项目管理。一是成立省委编办网络安全和信息化工作领导，二是加强与省财政厅和省公共资源交易局的沟通，规范项目立项、招标、实施、验收流程；三是邀请省公共资源交易局和省审计厅专业人员对项目招投标、项目资金管理和项目绩效评价进行讲解，增强项目管理人员的业务能力；四是修订《中</w:t>
      </w:r>
      <w:r>
        <w:rPr>
          <w:rFonts w:cs="仿宋_GB2312"/>
          <w:kern w:val="0"/>
          <w:szCs w:val="32"/>
        </w:rPr>
        <w:t>共</w:t>
      </w:r>
      <w:r>
        <w:rPr>
          <w:rFonts w:hint="eastAsia" w:cs="仿宋_GB2312"/>
          <w:kern w:val="0"/>
          <w:szCs w:val="32"/>
        </w:rPr>
        <w:t>甘肃省委机构编制委员会办公室财务管理制度》，制订了《中</w:t>
      </w:r>
      <w:r>
        <w:rPr>
          <w:rFonts w:cs="仿宋_GB2312"/>
          <w:kern w:val="0"/>
          <w:szCs w:val="32"/>
        </w:rPr>
        <w:t>共</w:t>
      </w:r>
      <w:r>
        <w:rPr>
          <w:rFonts w:hint="eastAsia" w:cs="仿宋_GB2312"/>
          <w:kern w:val="0"/>
          <w:szCs w:val="32"/>
        </w:rPr>
        <w:t>甘肃省委机构编制委员会办公室项目管理制度》，形成用制度管项目的长效机制。</w:t>
      </w:r>
    </w:p>
    <w:p>
      <w:pPr>
        <w:numPr>
          <w:ilvl w:val="0"/>
          <w:numId w:val="2"/>
        </w:numPr>
        <w:spacing w:line="360" w:lineRule="auto"/>
        <w:ind w:firstLine="643" w:firstLineChars="0"/>
        <w:rPr>
          <w:rFonts w:cs="仿宋_GB2312"/>
          <w:b/>
          <w:bCs/>
          <w:kern w:val="0"/>
          <w:szCs w:val="32"/>
        </w:rPr>
      </w:pPr>
      <w:r>
        <w:rPr>
          <w:rFonts w:hint="eastAsia" w:cs="仿宋_GB2312"/>
          <w:b/>
          <w:bCs/>
          <w:kern w:val="0"/>
          <w:szCs w:val="32"/>
        </w:rPr>
        <w:t>严把项目验收关，全面提高项目实施质量。</w:t>
      </w:r>
    </w:p>
    <w:p>
      <w:pPr>
        <w:spacing w:line="360" w:lineRule="auto"/>
        <w:rPr>
          <w:rFonts w:cs="仿宋_GB2312"/>
          <w:b/>
          <w:bCs/>
          <w:kern w:val="0"/>
          <w:szCs w:val="32"/>
        </w:rPr>
      </w:pPr>
      <w:r>
        <w:rPr>
          <w:rFonts w:hint="eastAsia" w:cs="仿宋_GB2312"/>
          <w:kern w:val="0"/>
          <w:szCs w:val="32"/>
        </w:rPr>
        <w:t>2020年，</w:t>
      </w:r>
      <w:r>
        <w:rPr>
          <w:rFonts w:hint="eastAsia" w:cs="仿宋_GB2312"/>
        </w:rPr>
        <w:t>省委编</w:t>
      </w:r>
      <w:r>
        <w:rPr>
          <w:rFonts w:cs="仿宋_GB2312"/>
        </w:rPr>
        <w:t>办</w:t>
      </w:r>
      <w:r>
        <w:rPr>
          <w:rFonts w:hint="eastAsia" w:cs="仿宋_GB2312"/>
          <w:kern w:val="0"/>
          <w:szCs w:val="32"/>
        </w:rPr>
        <w:t>严格落实《中</w:t>
      </w:r>
      <w:r>
        <w:rPr>
          <w:rFonts w:cs="仿宋_GB2312"/>
          <w:kern w:val="0"/>
          <w:szCs w:val="32"/>
        </w:rPr>
        <w:t>共</w:t>
      </w:r>
      <w:r>
        <w:rPr>
          <w:rFonts w:hint="eastAsia" w:cs="仿宋_GB2312"/>
          <w:kern w:val="0"/>
          <w:szCs w:val="32"/>
        </w:rPr>
        <w:t>甘肃省委机构编制委员会办公室项目管理制度》规定，扎实做好项目验收工作。一是成立项目验收小组，成员由省政府采购评审专家库专家、综合处、机关纪委、电子政务中心相关人员组成，同时邀请驻省委组织部纪检组有关人员参加；二是优化验收流程，机构编制实名制管理系统升级改造完成后，经承建单位自验后，甘肃省委机构编制委员会办公室组织人员初验进行初验，最后邀请第三方人员验收。为防止验收工作中发生弄虚作假、违反技术标准现象，采取项目验收“谁检查、谁签字、谁负责”制度，项目验收完成后需签字盖章确认，实行验收追责制。</w:t>
      </w:r>
    </w:p>
    <w:p>
      <w:pPr>
        <w:numPr>
          <w:ilvl w:val="0"/>
          <w:numId w:val="2"/>
        </w:numPr>
        <w:spacing w:line="360" w:lineRule="auto"/>
        <w:ind w:firstLine="643" w:firstLineChars="0"/>
        <w:rPr>
          <w:rFonts w:cs="仿宋_GB2312"/>
          <w:b/>
          <w:bCs/>
          <w:kern w:val="0"/>
          <w:szCs w:val="32"/>
        </w:rPr>
      </w:pPr>
      <w:r>
        <w:rPr>
          <w:rFonts w:hint="eastAsia" w:cs="仿宋_GB2312"/>
          <w:b/>
          <w:bCs/>
          <w:kern w:val="0"/>
          <w:szCs w:val="32"/>
        </w:rPr>
        <w:t>资金支出合规，财务档案齐全。</w:t>
      </w:r>
    </w:p>
    <w:p>
      <w:pPr>
        <w:spacing w:line="360" w:lineRule="auto"/>
        <w:rPr>
          <w:rFonts w:cs="仿宋_GB2312"/>
          <w:kern w:val="0"/>
          <w:szCs w:val="32"/>
        </w:rPr>
      </w:pPr>
      <w:r>
        <w:rPr>
          <w:rFonts w:hint="eastAsia" w:cs="仿宋_GB2312"/>
          <w:kern w:val="0"/>
          <w:szCs w:val="32"/>
        </w:rPr>
        <w:t>省委</w:t>
      </w:r>
      <w:r>
        <w:rPr>
          <w:rFonts w:cs="仿宋_GB2312"/>
          <w:kern w:val="0"/>
          <w:szCs w:val="32"/>
        </w:rPr>
        <w:t>编办</w:t>
      </w:r>
      <w:r>
        <w:rPr>
          <w:rFonts w:hint="eastAsia" w:cs="仿宋_GB2312"/>
          <w:kern w:val="0"/>
          <w:szCs w:val="32"/>
        </w:rPr>
        <w:t>严格落实《中</w:t>
      </w:r>
      <w:r>
        <w:rPr>
          <w:rFonts w:cs="仿宋_GB2312"/>
          <w:kern w:val="0"/>
          <w:szCs w:val="32"/>
        </w:rPr>
        <w:t>共</w:t>
      </w:r>
      <w:r>
        <w:rPr>
          <w:rFonts w:hint="eastAsia" w:cs="仿宋_GB2312"/>
          <w:kern w:val="0"/>
          <w:szCs w:val="32"/>
        </w:rPr>
        <w:t>甘肃省委机构编制委员会办公室财务管理制度》规定，2020年专项业务费的支出、使用能按照相关财经法律法规制度的规定以及国家有关财务管理制度和办法进行核算，资金的使用和支出具有完整的审批程序和报销手续，资金使用符合项目计划的用途，不存在截留、挤占、挪用、虚列支出等情况；项目财务记账凭证及资金支出明细账等资料齐全，核算内容真实、准确、规范，会计凭证完整、齐全。</w:t>
      </w:r>
    </w:p>
    <w:p>
      <w:pPr>
        <w:pStyle w:val="3"/>
        <w:keepNext w:val="0"/>
        <w:keepLines w:val="0"/>
        <w:spacing w:line="360" w:lineRule="auto"/>
        <w:ind w:firstLine="643"/>
        <w:rPr>
          <w:rFonts w:cs="黑体"/>
          <w:bCs/>
          <w:szCs w:val="32"/>
        </w:rPr>
      </w:pPr>
      <w:bookmarkStart w:id="68" w:name="_Toc26015"/>
      <w:bookmarkStart w:id="69" w:name="_Toc13527"/>
      <w:r>
        <w:rPr>
          <w:rFonts w:hint="eastAsia" w:cs="黑体"/>
          <w:bCs/>
          <w:szCs w:val="32"/>
        </w:rPr>
        <w:t>七、存在的问题及原因分析</w:t>
      </w:r>
      <w:bookmarkEnd w:id="68"/>
    </w:p>
    <w:p>
      <w:pPr>
        <w:spacing w:line="360" w:lineRule="auto"/>
        <w:ind w:firstLine="643"/>
        <w:rPr>
          <w:rFonts w:cs="仿宋_GB2312"/>
          <w:b/>
          <w:bCs/>
          <w:kern w:val="0"/>
          <w:szCs w:val="32"/>
        </w:rPr>
      </w:pPr>
      <w:r>
        <w:rPr>
          <w:rFonts w:hint="eastAsia" w:cs="仿宋_GB2312"/>
          <w:b/>
          <w:bCs/>
          <w:kern w:val="0"/>
          <w:szCs w:val="32"/>
        </w:rPr>
        <w:t>（一）预算编制的科学性和精细化水平有待提高。</w:t>
      </w:r>
    </w:p>
    <w:p>
      <w:pPr>
        <w:spacing w:line="360" w:lineRule="auto"/>
      </w:pPr>
      <w:r>
        <w:rPr>
          <w:rFonts w:hint="eastAsia" w:cs="仿宋_GB2312"/>
          <w:kern w:val="0"/>
          <w:szCs w:val="32"/>
        </w:rPr>
        <w:t>省委</w:t>
      </w:r>
      <w:r>
        <w:rPr>
          <w:rFonts w:cs="仿宋_GB2312"/>
          <w:kern w:val="0"/>
          <w:szCs w:val="32"/>
        </w:rPr>
        <w:t>编办</w:t>
      </w:r>
      <w:r>
        <w:rPr>
          <w:rFonts w:hint="eastAsia"/>
        </w:rPr>
        <w:t>《2020年部门预算公开表》显示，在年初编制预算时预算2020年专项业务费400万元，在日常运行支出中对项目支出进行了分配，其中办公费45万元、印刷费35万元、电费13万元、差旅费15万元、会议费25万元、办公设备购置费25万元，日常运行支出共158万元。项目其它支出未做相关说明，且日常运行支出未提供相关预算资金分配依据。</w:t>
      </w:r>
      <w:r>
        <w:rPr>
          <w:rFonts w:hint="eastAsia" w:cs="仿宋_GB2312"/>
          <w:kern w:val="0"/>
          <w:szCs w:val="32"/>
        </w:rPr>
        <w:t>省委</w:t>
      </w:r>
      <w:r>
        <w:rPr>
          <w:rFonts w:cs="仿宋_GB2312"/>
          <w:kern w:val="0"/>
          <w:szCs w:val="32"/>
        </w:rPr>
        <w:t>编办</w:t>
      </w:r>
      <w:r>
        <w:rPr>
          <w:rFonts w:hint="eastAsia"/>
        </w:rPr>
        <w:t>2020年专项业务费项目未根据年度目标任务编制预算，未按照相关标准分解预算额度，没有对专项支出分类依次落实、细化到具体项目上。</w:t>
      </w:r>
    </w:p>
    <w:p>
      <w:pPr>
        <w:spacing w:line="360" w:lineRule="auto"/>
        <w:ind w:firstLine="643"/>
        <w:rPr>
          <w:rFonts w:cs="仿宋_GB2312"/>
          <w:b/>
          <w:bCs/>
          <w:kern w:val="0"/>
          <w:szCs w:val="32"/>
        </w:rPr>
      </w:pPr>
      <w:r>
        <w:rPr>
          <w:rFonts w:hint="eastAsia" w:cs="仿宋_GB2312"/>
          <w:b/>
          <w:bCs/>
          <w:kern w:val="0"/>
          <w:szCs w:val="32"/>
        </w:rPr>
        <w:t>（二）与做好机构改革“后半篇文章”有一定的差距。</w:t>
      </w:r>
    </w:p>
    <w:p>
      <w:pPr>
        <w:spacing w:line="360" w:lineRule="auto"/>
      </w:pPr>
      <w:r>
        <w:rPr>
          <w:rFonts w:hint="eastAsia"/>
        </w:rPr>
        <w:t>根据查阅项目档案及实地座谈，并结合2020年省委第一巡视组对</w:t>
      </w:r>
      <w:r>
        <w:rPr>
          <w:rFonts w:hint="eastAsia" w:cs="仿宋_GB2312"/>
          <w:kern w:val="0"/>
          <w:szCs w:val="32"/>
        </w:rPr>
        <w:t>省委</w:t>
      </w:r>
      <w:r>
        <w:rPr>
          <w:rFonts w:cs="仿宋_GB2312"/>
          <w:kern w:val="0"/>
          <w:szCs w:val="32"/>
        </w:rPr>
        <w:t>编办</w:t>
      </w:r>
      <w:r>
        <w:rPr>
          <w:rFonts w:hint="eastAsia"/>
        </w:rPr>
        <w:t>开展常规巡视的反馈意见，在党中央统一部署下，全省机构改革任务已全面完成，适应新时代要求的机构职能体系已初步建立，我省在机构领导职能配置上还不够科学合理，在体制机制上还不够完备完善、在运行管理上还不够高效。</w:t>
      </w:r>
    </w:p>
    <w:p>
      <w:pPr>
        <w:spacing w:line="360" w:lineRule="auto"/>
        <w:ind w:firstLine="643"/>
        <w:rPr>
          <w:rFonts w:cs="仿宋_GB2312"/>
          <w:b/>
          <w:bCs/>
          <w:kern w:val="0"/>
          <w:szCs w:val="32"/>
        </w:rPr>
      </w:pPr>
      <w:r>
        <w:rPr>
          <w:rFonts w:hint="eastAsia" w:cs="仿宋_GB2312"/>
          <w:b/>
          <w:bCs/>
          <w:kern w:val="0"/>
          <w:szCs w:val="32"/>
        </w:rPr>
        <w:t>（三）项目档案管理不够规范。</w:t>
      </w:r>
    </w:p>
    <w:p>
      <w:pPr>
        <w:spacing w:line="360" w:lineRule="auto"/>
      </w:pPr>
      <w:r>
        <w:rPr>
          <w:rFonts w:hint="eastAsia"/>
        </w:rPr>
        <w:t>根据评价组对</w:t>
      </w:r>
      <w:r>
        <w:rPr>
          <w:rFonts w:hint="eastAsia" w:cs="仿宋_GB2312"/>
          <w:kern w:val="0"/>
          <w:szCs w:val="32"/>
        </w:rPr>
        <w:t>省委</w:t>
      </w:r>
      <w:r>
        <w:rPr>
          <w:rFonts w:cs="仿宋_GB2312"/>
          <w:kern w:val="0"/>
          <w:szCs w:val="32"/>
        </w:rPr>
        <w:t>编办</w:t>
      </w:r>
      <w:r>
        <w:rPr>
          <w:rFonts w:hint="eastAsia"/>
        </w:rPr>
        <w:t>档案制度及档案资料的查阅，</w:t>
      </w:r>
      <w:r>
        <w:rPr>
          <w:rFonts w:hint="eastAsia" w:cs="仿宋_GB2312"/>
          <w:kern w:val="0"/>
          <w:szCs w:val="32"/>
        </w:rPr>
        <w:t>省委</w:t>
      </w:r>
      <w:r>
        <w:rPr>
          <w:rFonts w:cs="仿宋_GB2312"/>
          <w:kern w:val="0"/>
          <w:szCs w:val="32"/>
        </w:rPr>
        <w:t>编办</w:t>
      </w:r>
      <w:r>
        <w:rPr>
          <w:rFonts w:hint="eastAsia"/>
        </w:rPr>
        <w:t>制定了《</w:t>
      </w:r>
      <w:r>
        <w:rPr>
          <w:rFonts w:hint="eastAsia"/>
          <w:lang w:eastAsia="zh-CN"/>
        </w:rPr>
        <w:t>中共</w:t>
      </w:r>
      <w:r>
        <w:rPr>
          <w:rFonts w:hint="eastAsia"/>
        </w:rPr>
        <w:t>甘肃省委机构编制委员会办公室档案管理制度》，2020年专项业务费项目建立了项目档案，但项目档案资料不完整、不齐全，仅有的跟项目有关的文件、会议纪要、经费申请报</w:t>
      </w:r>
      <w:bookmarkStart w:id="97" w:name="_GoBack"/>
      <w:bookmarkEnd w:id="97"/>
      <w:r>
        <w:rPr>
          <w:rFonts w:hint="eastAsia"/>
        </w:rPr>
        <w:t>告等资料，项目管理档案还不够完善，会议培训及考察调研档案不完整，且对现有资料未进行整理归档，档案管理规范性有待加强。</w:t>
      </w:r>
    </w:p>
    <w:p>
      <w:pPr>
        <w:pStyle w:val="3"/>
        <w:keepNext w:val="0"/>
        <w:keepLines w:val="0"/>
        <w:spacing w:line="360" w:lineRule="auto"/>
        <w:ind w:firstLine="643"/>
        <w:rPr>
          <w:rFonts w:cs="黑体"/>
          <w:bCs/>
          <w:szCs w:val="32"/>
        </w:rPr>
      </w:pPr>
      <w:bookmarkStart w:id="70" w:name="_Toc15115"/>
      <w:r>
        <w:rPr>
          <w:rFonts w:hint="eastAsia" w:cs="黑体"/>
          <w:bCs/>
          <w:color w:val="FF0000"/>
          <w:szCs w:val="32"/>
        </w:rPr>
        <w:fldChar w:fldCharType="begin"/>
      </w:r>
      <w:r>
        <w:rPr>
          <w:rFonts w:hint="eastAsia" w:cs="黑体"/>
          <w:bCs/>
          <w:color w:val="FF0000"/>
          <w:szCs w:val="32"/>
        </w:rPr>
        <w:instrText xml:space="preserve"> HYPERLINK \l _Toc26431 </w:instrText>
      </w:r>
      <w:r>
        <w:rPr>
          <w:rFonts w:hint="eastAsia" w:cs="黑体"/>
          <w:bCs/>
          <w:color w:val="FF0000"/>
          <w:szCs w:val="32"/>
        </w:rPr>
        <w:fldChar w:fldCharType="separate"/>
      </w:r>
      <w:r>
        <w:rPr>
          <w:rFonts w:hint="eastAsia" w:cs="黑体"/>
          <w:bCs/>
          <w:szCs w:val="32"/>
        </w:rPr>
        <w:t>八、有关建议</w:t>
      </w:r>
      <w:bookmarkEnd w:id="70"/>
    </w:p>
    <w:p>
      <w:pPr>
        <w:spacing w:line="360" w:lineRule="auto"/>
        <w:ind w:firstLine="643"/>
        <w:rPr>
          <w:color w:val="FF0000"/>
        </w:rPr>
      </w:pPr>
      <w:r>
        <w:rPr>
          <w:rFonts w:hint="eastAsia" w:cs="仿宋_GB2312"/>
          <w:b/>
          <w:szCs w:val="32"/>
        </w:rPr>
        <w:t>（一）科学编制预算，提高预算管理水平。</w:t>
      </w:r>
    </w:p>
    <w:p>
      <w:pPr>
        <w:spacing w:line="360" w:lineRule="auto"/>
        <w:rPr>
          <w:rFonts w:cs="仿宋_GB2312"/>
          <w:b/>
          <w:szCs w:val="32"/>
        </w:rPr>
      </w:pPr>
      <w:r>
        <w:rPr>
          <w:rFonts w:hint="eastAsia"/>
          <w:bCs/>
          <w:szCs w:val="32"/>
        </w:rPr>
        <w:t>建议</w:t>
      </w:r>
      <w:r>
        <w:rPr>
          <w:rFonts w:hint="eastAsia" w:cs="仿宋_GB2312"/>
          <w:kern w:val="0"/>
          <w:szCs w:val="32"/>
        </w:rPr>
        <w:t>省委</w:t>
      </w:r>
      <w:r>
        <w:rPr>
          <w:rFonts w:cs="仿宋_GB2312"/>
          <w:kern w:val="0"/>
          <w:szCs w:val="32"/>
        </w:rPr>
        <w:t>编办</w:t>
      </w:r>
      <w:r>
        <w:rPr>
          <w:rFonts w:hint="eastAsia"/>
          <w:bCs/>
          <w:szCs w:val="32"/>
        </w:rPr>
        <w:t>在项目申请时要科学、精细化编制预算，做到有据可依。一是对专项支出要分类依次落实到具体项目上更应详实地列示具体项目，按定额和项目目标编制预算，在预算中要列示预算总额和具体支出方向和测算依据，并附详细文字说明，从而提高预算编制的精细化水平。二是合理确定预算定额，准确把握预算申请依据，定额标准要结合当地经济状况和单位实际科学合理制定，确保预算编制的精细化和规范化。</w:t>
      </w:r>
    </w:p>
    <w:p>
      <w:pPr>
        <w:spacing w:line="360" w:lineRule="auto"/>
        <w:ind w:firstLine="643"/>
        <w:rPr>
          <w:rFonts w:cs="仿宋_GB2312"/>
          <w:b/>
          <w:szCs w:val="32"/>
        </w:rPr>
      </w:pPr>
      <w:r>
        <w:rPr>
          <w:rFonts w:hint="eastAsia" w:cs="仿宋_GB2312"/>
          <w:b/>
          <w:szCs w:val="32"/>
        </w:rPr>
        <w:t>（二）聚焦发展所需，扎实做好</w:t>
      </w:r>
      <w:r>
        <w:rPr>
          <w:rFonts w:hint="eastAsia" w:cs="仿宋_GB2312"/>
          <w:b/>
          <w:bCs/>
          <w:kern w:val="0"/>
          <w:szCs w:val="32"/>
        </w:rPr>
        <w:t>机构改革</w:t>
      </w:r>
      <w:r>
        <w:rPr>
          <w:rFonts w:hint="eastAsia" w:cs="仿宋_GB2312"/>
          <w:b/>
          <w:szCs w:val="32"/>
        </w:rPr>
        <w:t>“后半篇文章”。</w:t>
      </w:r>
    </w:p>
    <w:p>
      <w:pPr>
        <w:spacing w:line="360" w:lineRule="auto"/>
        <w:rPr>
          <w:bCs/>
          <w:szCs w:val="32"/>
        </w:rPr>
      </w:pPr>
      <w:r>
        <w:rPr>
          <w:rFonts w:hint="eastAsia"/>
          <w:bCs/>
          <w:szCs w:val="32"/>
        </w:rPr>
        <w:t>深化机构改革，目标是构建系统完备、科学规范、运行高效的机构职能体系，全面提高治理能力和治理水平。做好“后半篇文章”，必须巩固发展全省深化机构改革成果，推动发生“化学反应”。要健全党的领导体制，加强党政机构职能统筹，保证党对一切工作的领导；要推动机构职能优化协同高效，科学合理、权责一致，有统有分、有主有次，决不能“新瓶装旧酒”；要聚焦发展所需、基层所盼、民心所向，深入推进事业单位改革、乡镇街道行政管理体制改革等相关配套改革，在机构改革中催生聚合效应；要扎实做好机构改革后续工作，统筹抓好巩固脱贫攻坚成果、全面推进乡村振兴，坚持推进机构编制法定化；要引导广大党员干部准确把握新机构新职能提出的新要求，全面增强干事创业敢担当的本领和水平。</w:t>
      </w:r>
    </w:p>
    <w:p>
      <w:pPr>
        <w:spacing w:line="360" w:lineRule="auto"/>
        <w:ind w:firstLine="643"/>
        <w:rPr>
          <w:rFonts w:cs="仿宋_GB2312"/>
          <w:b/>
          <w:szCs w:val="32"/>
        </w:rPr>
      </w:pPr>
      <w:r>
        <w:rPr>
          <w:rFonts w:hint="eastAsia" w:cs="仿宋_GB2312"/>
          <w:b/>
          <w:szCs w:val="32"/>
        </w:rPr>
        <w:t>（三）加强项目档案管理。</w:t>
      </w:r>
    </w:p>
    <w:p>
      <w:pPr>
        <w:spacing w:line="360" w:lineRule="auto"/>
        <w:rPr>
          <w:bCs/>
          <w:szCs w:val="32"/>
        </w:rPr>
      </w:pPr>
      <w:r>
        <w:rPr>
          <w:rFonts w:hint="eastAsia" w:cs="仿宋_GB2312"/>
          <w:szCs w:val="32"/>
        </w:rPr>
        <w:t>建议</w:t>
      </w:r>
      <w:r>
        <w:rPr>
          <w:rFonts w:hint="eastAsia" w:cs="仿宋_GB2312"/>
          <w:kern w:val="0"/>
          <w:szCs w:val="32"/>
        </w:rPr>
        <w:t>省委</w:t>
      </w:r>
      <w:r>
        <w:rPr>
          <w:rFonts w:cs="仿宋_GB2312"/>
          <w:kern w:val="0"/>
          <w:szCs w:val="32"/>
        </w:rPr>
        <w:t>编办</w:t>
      </w:r>
      <w:r>
        <w:rPr>
          <w:rFonts w:hint="eastAsia" w:cs="仿宋_GB2312"/>
          <w:szCs w:val="32"/>
        </w:rPr>
        <w:t>按照</w:t>
      </w:r>
      <w:r>
        <w:rPr>
          <w:rFonts w:hint="eastAsia"/>
        </w:rPr>
        <w:t>《中</w:t>
      </w:r>
      <w:r>
        <w:t>共</w:t>
      </w:r>
      <w:r>
        <w:rPr>
          <w:rFonts w:hint="eastAsia"/>
        </w:rPr>
        <w:t>甘肃省委机构编制委员会办公室档案管理制度》要求</w:t>
      </w:r>
      <w:r>
        <w:rPr>
          <w:rFonts w:hint="eastAsia" w:cs="仿宋_GB2312"/>
          <w:szCs w:val="32"/>
        </w:rPr>
        <w:t>，</w:t>
      </w:r>
      <w:r>
        <w:rPr>
          <w:rFonts w:hint="eastAsia"/>
          <w:bCs/>
          <w:szCs w:val="32"/>
        </w:rPr>
        <w:t>及时对项目申报及项目实施过程中形成的资料整理归档，确保项目整个实施过程手续齐全，资料完整；按照相关档案管理办法，规范档案管理，确保项目档案的真实、完整和有效利用。</w:t>
      </w:r>
    </w:p>
    <w:p>
      <w:pPr>
        <w:pStyle w:val="3"/>
        <w:keepNext w:val="0"/>
        <w:keepLines w:val="0"/>
        <w:spacing w:line="360" w:lineRule="auto"/>
        <w:ind w:firstLine="643"/>
        <w:rPr>
          <w:rFonts w:cs="黑体"/>
          <w:bCs/>
          <w:color w:val="FF0000"/>
          <w:szCs w:val="32"/>
        </w:rPr>
      </w:pPr>
      <w:bookmarkStart w:id="71" w:name="_Toc21552"/>
      <w:r>
        <w:rPr>
          <w:rFonts w:hint="eastAsia" w:cs="黑体"/>
          <w:bCs/>
          <w:szCs w:val="32"/>
        </w:rPr>
        <w:t>九、需要说明的问题</w:t>
      </w:r>
      <w:r>
        <w:rPr>
          <w:rFonts w:hint="eastAsia" w:cs="黑体"/>
          <w:bCs/>
          <w:color w:val="FF0000"/>
          <w:szCs w:val="32"/>
        </w:rPr>
        <w:fldChar w:fldCharType="end"/>
      </w:r>
      <w:bookmarkEnd w:id="69"/>
      <w:bookmarkEnd w:id="71"/>
    </w:p>
    <w:p>
      <w:pPr>
        <w:spacing w:line="360" w:lineRule="auto"/>
        <w:rPr>
          <w:rFonts w:cs="仿宋_GB2312"/>
          <w:szCs w:val="32"/>
        </w:rPr>
      </w:pPr>
      <w:r>
        <w:rPr>
          <w:rFonts w:hint="eastAsia" w:cs="仿宋_GB2312"/>
          <w:szCs w:val="32"/>
        </w:rPr>
        <w:t>项目评价组通过微信小程序向项目受益对象开展了“中</w:t>
      </w:r>
      <w:r>
        <w:rPr>
          <w:rFonts w:cs="仿宋_GB2312"/>
          <w:szCs w:val="32"/>
        </w:rPr>
        <w:t>共</w:t>
      </w:r>
      <w:r>
        <w:rPr>
          <w:rFonts w:hint="eastAsia" w:cs="仿宋_GB2312"/>
          <w:szCs w:val="32"/>
        </w:rPr>
        <w:t>甘肃省委机构编制委员会办公室2020年专项业务费项目满意度”的调查问卷，有效填写问卷27份，问卷回收率低，据此得出的评价结论并不能代表总体效果。2020年7月21日至9月21日，省委第一巡视组对省委编办开展了常规巡视，未出现财经纪律违规现象。</w:t>
      </w:r>
    </w:p>
    <w:p>
      <w:pPr>
        <w:pStyle w:val="3"/>
        <w:keepNext w:val="0"/>
        <w:keepLines w:val="0"/>
        <w:spacing w:line="360" w:lineRule="auto"/>
        <w:ind w:firstLine="643"/>
        <w:rPr>
          <w:rFonts w:cs="黑体"/>
          <w:bCs/>
          <w:szCs w:val="32"/>
        </w:rPr>
      </w:pPr>
      <w:bookmarkStart w:id="72" w:name="_Toc4185"/>
      <w:bookmarkStart w:id="73" w:name="_Toc29005"/>
      <w:bookmarkStart w:id="74" w:name="_Toc32435"/>
      <w:r>
        <w:rPr>
          <w:rFonts w:hint="eastAsia" w:cs="黑体"/>
          <w:bCs/>
          <w:szCs w:val="32"/>
        </w:rPr>
        <w:t>十、其他</w:t>
      </w:r>
      <w:r>
        <w:fldChar w:fldCharType="begin"/>
      </w:r>
      <w:r>
        <w:instrText xml:space="preserve"> HYPERLINK \l "_Toc1632" </w:instrText>
      </w:r>
      <w:r>
        <w:fldChar w:fldCharType="separate"/>
      </w:r>
      <w:r>
        <w:rPr>
          <w:rFonts w:hint="eastAsia" w:cs="黑体"/>
          <w:bCs/>
          <w:szCs w:val="32"/>
        </w:rPr>
        <w:t>附件</w:t>
      </w:r>
      <w:r>
        <w:rPr>
          <w:rFonts w:hint="eastAsia" w:cs="黑体"/>
          <w:bCs/>
          <w:szCs w:val="32"/>
        </w:rPr>
        <w:fldChar w:fldCharType="end"/>
      </w:r>
      <w:bookmarkEnd w:id="72"/>
      <w:bookmarkEnd w:id="73"/>
      <w:bookmarkEnd w:id="74"/>
    </w:p>
    <w:p>
      <w:pPr>
        <w:spacing w:line="360" w:lineRule="auto"/>
        <w:rPr>
          <w:rFonts w:cs="仿宋_GB2312"/>
          <w:szCs w:val="32"/>
        </w:rPr>
      </w:pPr>
      <w:bookmarkStart w:id="75" w:name="_Toc32521"/>
      <w:bookmarkStart w:id="76" w:name="_Toc2410"/>
      <w:bookmarkStart w:id="77" w:name="_Toc2567"/>
      <w:bookmarkStart w:id="78" w:name="_Toc323"/>
      <w:r>
        <w:rPr>
          <w:rFonts w:hint="eastAsia" w:cs="仿宋_GB2312"/>
          <w:szCs w:val="32"/>
        </w:rPr>
        <w:fldChar w:fldCharType="begin"/>
      </w:r>
      <w:r>
        <w:rPr>
          <w:rFonts w:hint="eastAsia" w:cs="仿宋_GB2312"/>
          <w:szCs w:val="32"/>
        </w:rPr>
        <w:instrText xml:space="preserve"> HYPERLINK \l "_Toc28958" </w:instrText>
      </w:r>
      <w:r>
        <w:rPr>
          <w:rFonts w:hint="eastAsia" w:cs="仿宋_GB2312"/>
          <w:szCs w:val="32"/>
        </w:rPr>
        <w:fldChar w:fldCharType="separate"/>
      </w:r>
      <w:r>
        <w:rPr>
          <w:rFonts w:hint="eastAsia" w:cs="仿宋_GB2312"/>
          <w:szCs w:val="32"/>
        </w:rPr>
        <w:t>附件1. 绩效评价指标体系</w:t>
      </w:r>
      <w:r>
        <w:rPr>
          <w:rFonts w:hint="eastAsia" w:cs="仿宋_GB2312"/>
          <w:szCs w:val="32"/>
        </w:rPr>
        <w:fldChar w:fldCharType="end"/>
      </w:r>
      <w:bookmarkEnd w:id="75"/>
      <w:bookmarkEnd w:id="76"/>
      <w:bookmarkEnd w:id="77"/>
      <w:bookmarkEnd w:id="78"/>
    </w:p>
    <w:p>
      <w:pPr>
        <w:spacing w:line="360" w:lineRule="auto"/>
        <w:rPr>
          <w:rFonts w:ascii="楷体" w:hAnsi="楷体" w:eastAsia="楷体" w:cs="宋体"/>
          <w:b/>
          <w:szCs w:val="28"/>
        </w:rPr>
      </w:pPr>
      <w:bookmarkStart w:id="79" w:name="_Toc20713"/>
      <w:bookmarkStart w:id="80" w:name="_Toc29308"/>
      <w:bookmarkStart w:id="81" w:name="_Toc17253"/>
      <w:bookmarkStart w:id="82" w:name="_Toc11282"/>
      <w:r>
        <w:rPr>
          <w:rFonts w:hint="eastAsia" w:cs="仿宋_GB2312"/>
          <w:szCs w:val="32"/>
        </w:rPr>
        <w:t>附件2</w:t>
      </w:r>
      <w:r>
        <w:rPr>
          <w:rFonts w:cs="仿宋_GB2312"/>
          <w:szCs w:val="32"/>
        </w:rPr>
        <w:t>.</w:t>
      </w:r>
      <w:r>
        <w:rPr>
          <w:rFonts w:hint="eastAsia" w:cs="仿宋_GB2312"/>
          <w:szCs w:val="32"/>
        </w:rPr>
        <w:t xml:space="preserve"> 项目资金使用情况表</w:t>
      </w:r>
      <w:bookmarkEnd w:id="79"/>
      <w:bookmarkEnd w:id="80"/>
      <w:bookmarkEnd w:id="81"/>
      <w:bookmarkEnd w:id="82"/>
      <w:bookmarkStart w:id="83" w:name="_Toc2667"/>
      <w:bookmarkStart w:id="84" w:name="_Toc28958"/>
    </w:p>
    <w:p>
      <w:pPr>
        <w:spacing w:line="360" w:lineRule="auto"/>
        <w:rPr>
          <w:rFonts w:cs="仿宋_GB2312"/>
          <w:szCs w:val="32"/>
        </w:rPr>
      </w:pPr>
      <w:r>
        <w:rPr>
          <w:rFonts w:hint="eastAsia" w:cs="仿宋_GB2312"/>
          <w:szCs w:val="32"/>
        </w:rPr>
        <w:t>附件3</w:t>
      </w:r>
      <w:r>
        <w:rPr>
          <w:rFonts w:cs="仿宋_GB2312"/>
          <w:szCs w:val="32"/>
        </w:rPr>
        <w:t>.</w:t>
      </w:r>
      <w:r>
        <w:rPr>
          <w:rFonts w:hint="eastAsia" w:cs="仿宋_GB2312"/>
          <w:szCs w:val="32"/>
        </w:rPr>
        <w:t xml:space="preserve"> 问卷调查满意度分析</w:t>
      </w:r>
    </w:p>
    <w:p>
      <w:pPr>
        <w:pStyle w:val="2"/>
        <w:keepNext w:val="0"/>
        <w:keepLines w:val="0"/>
        <w:ind w:firstLine="480"/>
        <w:sectPr>
          <w:footerReference r:id="rId13" w:type="default"/>
          <w:pgSz w:w="11906" w:h="16838"/>
          <w:pgMar w:top="1440" w:right="1800" w:bottom="1440" w:left="1800" w:header="851" w:footer="722" w:gutter="0"/>
          <w:pgNumType w:start="1"/>
          <w:cols w:space="425" w:num="1"/>
          <w:docGrid w:type="lines" w:linePitch="435" w:charSpace="0"/>
        </w:sectPr>
      </w:pPr>
    </w:p>
    <w:p>
      <w:pPr>
        <w:spacing w:line="360" w:lineRule="auto"/>
        <w:ind w:firstLine="0" w:firstLineChars="0"/>
        <w:outlineLvl w:val="0"/>
        <w:rPr>
          <w:rFonts w:cs="宋体" w:asciiTheme="minorEastAsia" w:hAnsiTheme="minorEastAsia" w:eastAsiaTheme="minorEastAsia"/>
          <w:b/>
          <w:sz w:val="24"/>
          <w:szCs w:val="28"/>
        </w:rPr>
      </w:pPr>
      <w:bookmarkStart w:id="85" w:name="_Toc5834"/>
      <w:r>
        <w:rPr>
          <w:rFonts w:hint="eastAsia" w:ascii="楷体" w:hAnsi="楷体" w:eastAsia="楷体" w:cs="宋体"/>
          <w:b/>
          <w:szCs w:val="28"/>
        </w:rPr>
        <w:t>附件1 绩效评价指标体系</w:t>
      </w:r>
      <w:bookmarkEnd w:id="83"/>
      <w:bookmarkEnd w:id="84"/>
      <w:bookmarkEnd w:id="85"/>
    </w:p>
    <w:p>
      <w:pPr>
        <w:spacing w:line="360" w:lineRule="auto"/>
        <w:ind w:firstLine="0" w:firstLineChars="0"/>
        <w:jc w:val="center"/>
        <w:rPr>
          <w:rFonts w:asciiTheme="minorEastAsia" w:hAnsiTheme="minorEastAsia" w:eastAsiaTheme="minorEastAsia"/>
          <w:sz w:val="28"/>
        </w:rPr>
      </w:pPr>
      <w:bookmarkStart w:id="86" w:name="_Toc2129"/>
      <w:bookmarkStart w:id="87" w:name="_Toc5760"/>
      <w:bookmarkStart w:id="88" w:name="_Toc32651"/>
      <w:bookmarkStart w:id="89" w:name="_Toc27648"/>
      <w:bookmarkStart w:id="90" w:name="_Toc592"/>
      <w:bookmarkStart w:id="91" w:name="_Toc4005"/>
      <w:bookmarkStart w:id="92" w:name="_Toc4940"/>
      <w:r>
        <w:rPr>
          <w:rFonts w:hint="eastAsia" w:cs="宋体" w:asciiTheme="minorEastAsia" w:hAnsiTheme="minorEastAsia" w:eastAsiaTheme="minorEastAsia"/>
          <w:b/>
          <w:kern w:val="0"/>
          <w:sz w:val="28"/>
          <w:szCs w:val="28"/>
        </w:rPr>
        <w:t>甘肃省委机构编制委员会办公室2020年专项业务费项目</w:t>
      </w:r>
      <w:r>
        <w:rPr>
          <w:rFonts w:hint="eastAsia" w:cs="宋体" w:asciiTheme="minorEastAsia" w:hAnsiTheme="minorEastAsia" w:eastAsiaTheme="minorEastAsia"/>
          <w:b/>
          <w:sz w:val="28"/>
          <w:szCs w:val="28"/>
        </w:rPr>
        <w:t>绩</w:t>
      </w:r>
      <w:r>
        <w:rPr>
          <w:rFonts w:hint="eastAsia" w:cs="宋体" w:asciiTheme="minorEastAsia" w:hAnsiTheme="minorEastAsia" w:eastAsiaTheme="minorEastAsia"/>
          <w:b/>
          <w:kern w:val="0"/>
          <w:sz w:val="28"/>
          <w:szCs w:val="28"/>
        </w:rPr>
        <w:t>效评价指标体系</w:t>
      </w:r>
      <w:bookmarkEnd w:id="86"/>
      <w:bookmarkEnd w:id="87"/>
      <w:bookmarkEnd w:id="88"/>
      <w:bookmarkEnd w:id="89"/>
      <w:bookmarkEnd w:id="90"/>
      <w:bookmarkEnd w:id="91"/>
      <w:bookmarkEnd w:id="92"/>
    </w:p>
    <w:tbl>
      <w:tblPr>
        <w:tblStyle w:val="16"/>
        <w:tblW w:w="49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983"/>
        <w:gridCol w:w="714"/>
        <w:gridCol w:w="1017"/>
        <w:gridCol w:w="708"/>
        <w:gridCol w:w="1425"/>
        <w:gridCol w:w="689"/>
        <w:gridCol w:w="2958"/>
        <w:gridCol w:w="53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blHeader/>
          <w:jc w:val="center"/>
        </w:trPr>
        <w:tc>
          <w:tcPr>
            <w:tcW w:w="354" w:type="pct"/>
            <w:shd w:val="clear" w:color="auto" w:fill="auto"/>
            <w:tcMar>
              <w:top w:w="15" w:type="dxa"/>
              <w:left w:w="15" w:type="dxa"/>
              <w:right w:w="15" w:type="dxa"/>
            </w:tcMar>
            <w:vAlign w:val="center"/>
          </w:tcPr>
          <w:p>
            <w:pPr>
              <w:spacing w:line="300" w:lineRule="exact"/>
              <w:ind w:firstLine="0" w:firstLineChars="0"/>
              <w:jc w:val="center"/>
              <w:textAlignment w:val="center"/>
              <w:rPr>
                <w:rFonts w:asciiTheme="minorEastAsia" w:hAnsiTheme="minorEastAsia" w:eastAsiaTheme="minorEastAsia" w:cstheme="minorEastAsia"/>
                <w:b/>
                <w:kern w:val="0"/>
                <w:sz w:val="24"/>
                <w:lang w:bidi="ar"/>
              </w:rPr>
            </w:pPr>
            <w:r>
              <w:rPr>
                <w:rFonts w:hint="eastAsia" w:asciiTheme="minorEastAsia" w:hAnsiTheme="minorEastAsia" w:eastAsiaTheme="minorEastAsia" w:cstheme="minorEastAsia"/>
                <w:b/>
                <w:kern w:val="0"/>
                <w:sz w:val="24"/>
                <w:lang w:bidi="ar"/>
              </w:rPr>
              <w:t>一级</w:t>
            </w:r>
          </w:p>
          <w:p>
            <w:pPr>
              <w:spacing w:line="300" w:lineRule="exact"/>
              <w:ind w:firstLine="0" w:firstLineChars="0"/>
              <w:jc w:val="center"/>
              <w:textAlignment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lang w:bidi="ar"/>
              </w:rPr>
              <w:t>指标</w:t>
            </w:r>
          </w:p>
        </w:tc>
        <w:tc>
          <w:tcPr>
            <w:tcW w:w="257"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lang w:bidi="ar"/>
              </w:rPr>
              <w:t>分值</w:t>
            </w:r>
          </w:p>
        </w:tc>
        <w:tc>
          <w:tcPr>
            <w:tcW w:w="366"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lang w:bidi="ar"/>
              </w:rPr>
              <w:t>二级指标</w:t>
            </w:r>
          </w:p>
        </w:tc>
        <w:tc>
          <w:tcPr>
            <w:tcW w:w="255"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lang w:bidi="ar"/>
              </w:rPr>
              <w:t>分值</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lang w:bidi="ar"/>
              </w:rPr>
              <w:t>三级指标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lang w:bidi="ar"/>
              </w:rPr>
              <w:t>分值</w:t>
            </w:r>
          </w:p>
        </w:tc>
        <w:tc>
          <w:tcPr>
            <w:tcW w:w="1065"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lang w:bidi="ar"/>
              </w:rPr>
              <w:t>指标解释</w:t>
            </w:r>
          </w:p>
        </w:tc>
        <w:tc>
          <w:tcPr>
            <w:tcW w:w="1939"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b/>
                <w:sz w:val="24"/>
              </w:rPr>
            </w:pPr>
            <w:r>
              <w:rPr>
                <w:rFonts w:hint="eastAsia" w:asciiTheme="minorEastAsia" w:hAnsiTheme="minorEastAsia" w:eastAsiaTheme="minorEastAsia" w:cstheme="minorEastAsia"/>
                <w:b/>
                <w:kern w:val="0"/>
                <w:sz w:val="24"/>
                <w:lang w:bidi="ar"/>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决策</w:t>
            </w:r>
          </w:p>
        </w:tc>
        <w:tc>
          <w:tcPr>
            <w:tcW w:w="257"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12</w:t>
            </w: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项目申报</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申报依据</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充分性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项目申报是否符合法律法规、相关政策、发展规划以及部门职责，用以反映和考核项目申报依据情况。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①项目申报符合国家法律法规、国民经济发展规划和相关政策，得0.5分，否则不得分；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②项目申报符合行业发展规划和政策要求，得0.5分，否则不得分；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③项目申报与部门职责范围相符，属于部门履职所需，得0.5分，否则不得分；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④项目属于公共财政支持范围，符合中央、地方事权支出责任划分原则，得0.5分，否则不得分。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申报程序</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规范性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项目申请、设立过程是否符合相关要求，用以反映和考核项目申报的规范情况。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①项目按照规定的程序申请设立，得0.5分，否则不得分；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②审批文件、材料符合相关要求，得0.5分，否则不得分；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③事前已经过必要的可行性研究、专家论证、风险评估、绩效评估、集体决策，得1分，否则不得分。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25"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绩效目标</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绩效目标</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合理性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项目所设定的绩效目标是否依据充分，是否符合客观实际，用以反映和考核项目绩效目标与项目实施的相符情况。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①项目有绩效目标，得0.5分，否则不得分；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②项目绩效目标与实际工作内容具有相关性，得0.5分，否则不得分；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③项目预期产出效益和效果符合正常的业绩水平，得0.5分，否则不得分；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④绩效目标与预算确定的项目投资额或资金量相匹配，得0.5分，否则不得分。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绩效指标</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明确性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依据绩效目标设定的绩效指标是否清晰、细化、可衡量等，用以反映和考核项目绩效目标的明细化情况。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①将项目绩效目标细化分解为具体的绩效指标，得1分，否则不得分；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②通过清晰、可衡量的指标值予以体现，得0.5分，否则不得分；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③绩效指标与项目目标任务数或计划数相对应，得0.5分，否则不得分。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资金投入</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预算编制</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科学性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项目预算编制是否经过科学论证、有明确标准，资金额度与年度目标是否相适应，用以反映和考核项目预算编制的科学性、合理性情况。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①预算编制经过科学论证，得0.5分，否则不得分；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②预算内容与项目内容匹配，得0.5分，否则不得分；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③预算额度测算依据充分，按照标准编制，得0.5分，否则不得分；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④预算确定的项目投资额或资金量与工作任务相匹配，得0.5分，否则不得分。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资金分配</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合理性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项目预算资金分配是否有测算依据，与预算单位或地方实际是否相适应，用以反映和考核项目预算资金分配的科学性、合理性情况。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①预算资金分配依据充分，得1分，否则不得分；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②资金分配额度合理，与项目单位或地方实际相适应，得1分，否则不得分。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过程</w:t>
            </w:r>
          </w:p>
        </w:tc>
        <w:tc>
          <w:tcPr>
            <w:tcW w:w="257"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25</w:t>
            </w: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资金管理</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15</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资金到位率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3</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反映和考核资金实际到位情况。（资金到位率=实际到位资金/计划投入资金*100%）。</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指标分值=资金到位率*指标满分值3分，指标得分不超过满分。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5"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预算执行率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项目预算资金是否按照计划执行，用以反映或考核项目预算执行情况。预算执行率=（实际支出资金/实际到位资金）×100%。</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指标分值=预算执行率*指标满分值4分，指标得分不超过满分。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资金使用</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合规性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项目资金使用是否符合相关的财务管理制度规定，用以反映和考核项目资金的规范运行情况。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①资金使用符合国家财经法规和财务管理制度以及有关专项资金管理办法的规定，得1分，否则不得分；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②资金的拨付有完整的审批程序和手续，得1分，否则不得分；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③资金使用符合项目预算批复或合同规定的用途，得1分，否则不得分；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④资金使用不存在截留、挤占、挪用、虚列支出等情况，得1分，否则不得分。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会计信息</w:t>
            </w:r>
          </w:p>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质量</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反映和考核项目资金使用财务会计核算资料是否真实、完整、规范。</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①项目财务核算规范、符合行业要求，得2分，否则不得分；</w:t>
            </w:r>
          </w:p>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②财务会计信息真实、完整、凭证齐全，得2分，否则不得分。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组织实施</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10</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管理制度</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健全性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项目实施单位的财务和业务管理制度是否健全，用以反映和考核财务和业务管理制度对项目顺利实施的保障情况。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①</w:t>
            </w:r>
            <w:r>
              <w:rPr>
                <w:rFonts w:hint="eastAsia" w:asciiTheme="minorEastAsia" w:hAnsiTheme="minorEastAsia" w:eastAsiaTheme="minorEastAsia" w:cstheme="minorEastAsia"/>
                <w:kern w:val="0"/>
                <w:sz w:val="24"/>
              </w:rPr>
              <w:t>已制定或具有相应的财务和业务管理制度</w:t>
            </w:r>
            <w:r>
              <w:rPr>
                <w:rFonts w:hint="eastAsia" w:asciiTheme="minorEastAsia" w:hAnsiTheme="minorEastAsia" w:eastAsiaTheme="minorEastAsia" w:cstheme="minorEastAsia"/>
                <w:kern w:val="0"/>
                <w:sz w:val="24"/>
                <w:lang w:bidi="ar"/>
              </w:rPr>
              <w:t>，得1分，否则不得分</w:t>
            </w:r>
            <w:r>
              <w:rPr>
                <w:rFonts w:hint="eastAsia" w:asciiTheme="minorEastAsia" w:hAnsiTheme="minorEastAsia" w:eastAsiaTheme="minorEastAsia" w:cstheme="minorEastAsia"/>
                <w:kern w:val="0"/>
                <w:sz w:val="24"/>
              </w:rPr>
              <w:t>；</w:t>
            </w:r>
            <w:r>
              <w:rPr>
                <w:rFonts w:hint="eastAsia" w:asciiTheme="minorEastAsia" w:hAnsiTheme="minorEastAsia" w:eastAsiaTheme="minorEastAsia" w:cstheme="minorEastAsia"/>
                <w:kern w:val="0"/>
                <w:sz w:val="24"/>
              </w:rPr>
              <w:br w:type="textWrapping"/>
            </w:r>
            <w:r>
              <w:rPr>
                <w:rFonts w:hint="eastAsia" w:asciiTheme="minorEastAsia" w:hAnsiTheme="minorEastAsia" w:eastAsiaTheme="minorEastAsia" w:cstheme="minorEastAsia"/>
                <w:kern w:val="0"/>
                <w:sz w:val="24"/>
              </w:rPr>
              <w:t>②财务和业务管理制度合法、合规、完整</w:t>
            </w:r>
            <w:r>
              <w:rPr>
                <w:rFonts w:hint="eastAsia" w:asciiTheme="minorEastAsia" w:hAnsiTheme="minorEastAsia" w:eastAsiaTheme="minorEastAsia" w:cstheme="minorEastAsia"/>
                <w:kern w:val="0"/>
                <w:sz w:val="24"/>
                <w:lang w:bidi="ar"/>
              </w:rPr>
              <w:t>，得1分，否则不得分。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0" w:lineRule="atLeast"/>
              <w:ind w:firstLine="0" w:firstLineChars="0"/>
              <w:jc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制度执行</w:t>
            </w:r>
          </w:p>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rPr>
              <w:t>有效性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jc w:val="left"/>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rPr>
              <w:t>项目实施是否符合相关管理规定，用以反映和考核相关管理制度的有效执行情况。</w:t>
            </w:r>
          </w:p>
        </w:tc>
        <w:tc>
          <w:tcPr>
            <w:tcW w:w="1939" w:type="pct"/>
            <w:shd w:val="clear" w:color="auto" w:fill="auto"/>
            <w:tcMar>
              <w:top w:w="15" w:type="dxa"/>
              <w:left w:w="15" w:type="dxa"/>
              <w:right w:w="15" w:type="dxa"/>
            </w:tcMar>
            <w:vAlign w:val="center"/>
          </w:tcPr>
          <w:p>
            <w:pPr>
              <w:spacing w:line="240" w:lineRule="auto"/>
              <w:ind w:firstLine="0" w:firstLineChars="0"/>
              <w:jc w:val="left"/>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rPr>
              <w:t>项目实施</w:t>
            </w:r>
            <w:r>
              <w:rPr>
                <w:rFonts w:hint="eastAsia" w:asciiTheme="minorEastAsia" w:hAnsiTheme="minorEastAsia" w:eastAsiaTheme="minorEastAsia" w:cstheme="minorEastAsia"/>
                <w:sz w:val="24"/>
              </w:rPr>
              <w:t>遵守相关法律法规和业务管理规定，得2分；</w:t>
            </w:r>
            <w:r>
              <w:rPr>
                <w:rFonts w:hint="eastAsia" w:asciiTheme="minorEastAsia" w:hAnsiTheme="minorEastAsia" w:eastAsiaTheme="minorEastAsia" w:cstheme="minorEastAsia"/>
                <w:kern w:val="0"/>
                <w:sz w:val="24"/>
              </w:rPr>
              <w:t>制度执行不到位，酌情扣分；未执行，此项不得分。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采购管理合规性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3</w:t>
            </w:r>
          </w:p>
        </w:tc>
        <w:tc>
          <w:tcPr>
            <w:tcW w:w="1065" w:type="pct"/>
            <w:shd w:val="clear" w:color="auto" w:fill="auto"/>
            <w:tcMar>
              <w:top w:w="15" w:type="dxa"/>
              <w:left w:w="15" w:type="dxa"/>
              <w:right w:w="15" w:type="dxa"/>
            </w:tcMar>
            <w:vAlign w:val="center"/>
          </w:tcPr>
          <w:p>
            <w:pPr>
              <w:spacing w:line="240" w:lineRule="auto"/>
              <w:ind w:firstLine="0" w:firstLineChars="0"/>
              <w:jc w:val="left"/>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项目实施是否按计划和相关规定实行政府采购和招投标。</w:t>
            </w:r>
          </w:p>
        </w:tc>
        <w:tc>
          <w:tcPr>
            <w:tcW w:w="1939" w:type="pct"/>
            <w:shd w:val="clear" w:color="auto" w:fill="auto"/>
            <w:tcMar>
              <w:top w:w="15" w:type="dxa"/>
              <w:left w:w="15" w:type="dxa"/>
              <w:right w:w="15" w:type="dxa"/>
            </w:tcMar>
            <w:vAlign w:val="center"/>
          </w:tcPr>
          <w:p>
            <w:pPr>
              <w:spacing w:line="240" w:lineRule="auto"/>
              <w:ind w:firstLine="0" w:firstLineChars="0"/>
              <w:jc w:val="left"/>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①政府采购申请规范得1分，否则不得分；</w:t>
            </w:r>
          </w:p>
          <w:p>
            <w:pPr>
              <w:spacing w:line="240" w:lineRule="auto"/>
              <w:ind w:firstLine="0" w:firstLineChars="0"/>
              <w:jc w:val="left"/>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②采购信息发布规范及时得1分，否则不得分；</w:t>
            </w:r>
          </w:p>
          <w:p>
            <w:pPr>
              <w:spacing w:line="240" w:lineRule="auto"/>
              <w:ind w:firstLine="0" w:firstLineChars="0"/>
              <w:jc w:val="left"/>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③采购流程规范得1分，否则不得分。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项目档案</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管理</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3</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考核项目档案建立及管理情况。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①项目涉及的相关管理单位制定档案管理制度，建立项目档案，得1分，否则不得分；</w:t>
            </w:r>
            <w:r>
              <w:rPr>
                <w:rFonts w:hint="eastAsia" w:asciiTheme="minorEastAsia" w:hAnsiTheme="minorEastAsia" w:eastAsiaTheme="minorEastAsia" w:cstheme="minorEastAsia"/>
                <w:kern w:val="0"/>
                <w:sz w:val="24"/>
                <w:lang w:bidi="ar"/>
              </w:rPr>
              <w:br w:type="textWrapping"/>
            </w:r>
            <w:r>
              <w:rPr>
                <w:rFonts w:hint="eastAsia" w:asciiTheme="minorEastAsia" w:hAnsiTheme="minorEastAsia" w:eastAsiaTheme="minorEastAsia" w:cstheme="minorEastAsia"/>
                <w:kern w:val="0"/>
                <w:sz w:val="24"/>
                <w:lang w:bidi="ar"/>
              </w:rPr>
              <w:t>②项目档案资料完整齐全，管理规范，得2分，否则不得分。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0" w:hRule="atLeast"/>
          <w:jc w:val="center"/>
        </w:trPr>
        <w:tc>
          <w:tcPr>
            <w:tcW w:w="354"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产出</w:t>
            </w:r>
          </w:p>
        </w:tc>
        <w:tc>
          <w:tcPr>
            <w:tcW w:w="257"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37</w:t>
            </w: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产出数量</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17</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系统升级改造完成率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部门（单位）本年度实际完成机构编制实名制系统升级改造与绩效目标确定的机构编制实名制系统升级改造数的比值，用以反映和考核部门（单位）机构编制实名制系统升级改造工作完成情况</w:t>
            </w:r>
            <w:r>
              <w:rPr>
                <w:rFonts w:hint="eastAsia" w:asciiTheme="minorEastAsia" w:hAnsiTheme="minorEastAsia" w:eastAsiaTheme="minorEastAsia" w:cstheme="minorEastAsia"/>
                <w:kern w:val="0"/>
                <w:sz w:val="24"/>
              </w:rPr>
              <w:t>。</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系统升级改造完成率=（实际完成数/计划完成数）*100%；指标得分=系统升级改造完成率*指标满分值4分，指标得分不超过满分。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培训任务完成率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4</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部门（单位）本年度实际开展会议培训次数、人数与绩效目标确定的会议培训次数、人数的比值，用以反映和考核部门（单位）会议</w:t>
            </w:r>
            <w:r>
              <w:rPr>
                <w:rFonts w:hint="eastAsia" w:asciiTheme="minorEastAsia" w:hAnsiTheme="minorEastAsia" w:eastAsiaTheme="minorEastAsia" w:cstheme="minorEastAsia"/>
                <w:sz w:val="24"/>
              </w:rPr>
              <w:t>培训任务</w:t>
            </w:r>
            <w:r>
              <w:rPr>
                <w:rFonts w:hint="eastAsia" w:asciiTheme="minorEastAsia" w:hAnsiTheme="minorEastAsia" w:eastAsiaTheme="minorEastAsia" w:cstheme="minorEastAsia"/>
                <w:kern w:val="0"/>
                <w:sz w:val="24"/>
              </w:rPr>
              <w:t>完成情况。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培训任务完成率=（实际完成数/计划完成数）*100%；指标得分=培训任务完成率*指标满分值4分，指标得分不超过满分。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2"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考察调研任务完成率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4</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rPr>
              <w:t>部门（单位）本年度实际开展的考察调研次数与绩效目标确定的考察调研次数的比值，用以反映和考核部门（单位）</w:t>
            </w:r>
            <w:r>
              <w:rPr>
                <w:rFonts w:hint="eastAsia" w:asciiTheme="minorEastAsia" w:hAnsiTheme="minorEastAsia" w:eastAsiaTheme="minorEastAsia" w:cstheme="minorEastAsia"/>
                <w:kern w:val="0"/>
                <w:sz w:val="24"/>
                <w:lang w:bidi="ar"/>
              </w:rPr>
              <w:t>考察调研任务的完成</w:t>
            </w:r>
            <w:r>
              <w:rPr>
                <w:rFonts w:hint="eastAsia" w:asciiTheme="minorEastAsia" w:hAnsiTheme="minorEastAsia" w:eastAsiaTheme="minorEastAsia" w:cstheme="minorEastAsia"/>
                <w:kern w:val="0"/>
                <w:sz w:val="24"/>
              </w:rPr>
              <w:t>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考察调研任务完成率</w:t>
            </w:r>
            <w:r>
              <w:rPr>
                <w:rFonts w:hint="eastAsia" w:asciiTheme="minorEastAsia" w:hAnsiTheme="minorEastAsia" w:eastAsiaTheme="minorEastAsia" w:cstheme="minorEastAsia"/>
                <w:sz w:val="24"/>
              </w:rPr>
              <w:t>=（实际完成数/计划完成数）*100%；指标得分=</w:t>
            </w:r>
            <w:r>
              <w:rPr>
                <w:rFonts w:hint="eastAsia" w:asciiTheme="minorEastAsia" w:hAnsiTheme="minorEastAsia" w:eastAsiaTheme="minorEastAsia" w:cstheme="minorEastAsia"/>
                <w:kern w:val="0"/>
                <w:sz w:val="24"/>
                <w:lang w:bidi="ar"/>
              </w:rPr>
              <w:t>考察调研任务完成率</w:t>
            </w:r>
            <w:r>
              <w:rPr>
                <w:rFonts w:hint="eastAsia" w:asciiTheme="minorEastAsia" w:hAnsiTheme="minorEastAsia" w:eastAsiaTheme="minorEastAsia" w:cstheme="minorEastAsia"/>
                <w:sz w:val="24"/>
              </w:rPr>
              <w:t>*指标满分值4分，指标得分不超过满分。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机构改革任务完成率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5</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rPr>
              <w:t>部门（单位）本年度</w:t>
            </w:r>
            <w:r>
              <w:rPr>
                <w:rFonts w:hint="eastAsia" w:asciiTheme="minorEastAsia" w:hAnsiTheme="minorEastAsia" w:eastAsiaTheme="minorEastAsia" w:cstheme="minorEastAsia"/>
                <w:kern w:val="0"/>
                <w:sz w:val="24"/>
                <w:lang w:bidi="ar"/>
              </w:rPr>
              <w:t>机构改革任务完成</w:t>
            </w:r>
            <w:r>
              <w:rPr>
                <w:rFonts w:hint="eastAsia" w:asciiTheme="minorEastAsia" w:hAnsiTheme="minorEastAsia" w:eastAsiaTheme="minorEastAsia" w:cstheme="minorEastAsia"/>
                <w:kern w:val="0"/>
                <w:sz w:val="24"/>
              </w:rPr>
              <w:t>数与绩效目标确定的</w:t>
            </w:r>
            <w:r>
              <w:rPr>
                <w:rFonts w:hint="eastAsia" w:asciiTheme="minorEastAsia" w:hAnsiTheme="minorEastAsia" w:eastAsiaTheme="minorEastAsia" w:cstheme="minorEastAsia"/>
                <w:kern w:val="0"/>
                <w:sz w:val="24"/>
                <w:lang w:bidi="ar"/>
              </w:rPr>
              <w:t>机构改革任务完成</w:t>
            </w:r>
            <w:r>
              <w:rPr>
                <w:rFonts w:hint="eastAsia" w:asciiTheme="minorEastAsia" w:hAnsiTheme="minorEastAsia" w:eastAsiaTheme="minorEastAsia" w:cstheme="minorEastAsia"/>
                <w:kern w:val="0"/>
                <w:sz w:val="24"/>
              </w:rPr>
              <w:t>数的比值，用以反映和考核部门（单位）</w:t>
            </w:r>
            <w:r>
              <w:rPr>
                <w:rFonts w:hint="eastAsia" w:asciiTheme="minorEastAsia" w:hAnsiTheme="minorEastAsia" w:eastAsiaTheme="minorEastAsia" w:cstheme="minorEastAsia"/>
                <w:kern w:val="0"/>
                <w:sz w:val="24"/>
                <w:lang w:bidi="ar"/>
              </w:rPr>
              <w:t>机构改革任务完成</w:t>
            </w:r>
            <w:r>
              <w:rPr>
                <w:rFonts w:hint="eastAsia" w:asciiTheme="minorEastAsia" w:hAnsiTheme="minorEastAsia" w:eastAsiaTheme="minorEastAsia" w:cstheme="minorEastAsia"/>
                <w:kern w:val="0"/>
                <w:sz w:val="24"/>
              </w:rPr>
              <w:t>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机构改革任务完成</w:t>
            </w:r>
            <w:r>
              <w:rPr>
                <w:rFonts w:hint="eastAsia" w:asciiTheme="minorEastAsia" w:hAnsiTheme="minorEastAsia" w:eastAsiaTheme="minorEastAsia" w:cstheme="minorEastAsia"/>
                <w:sz w:val="24"/>
              </w:rPr>
              <w:t>率=（实际完成数/计划完成数）*100%；指标得分=</w:t>
            </w:r>
            <w:r>
              <w:rPr>
                <w:rFonts w:hint="eastAsia" w:asciiTheme="minorEastAsia" w:hAnsiTheme="minorEastAsia" w:eastAsiaTheme="minorEastAsia" w:cstheme="minorEastAsia"/>
                <w:kern w:val="0"/>
                <w:sz w:val="24"/>
                <w:lang w:bidi="ar"/>
              </w:rPr>
              <w:t>机构改革任务完成</w:t>
            </w:r>
            <w:r>
              <w:rPr>
                <w:rFonts w:hint="eastAsia" w:asciiTheme="minorEastAsia" w:hAnsiTheme="minorEastAsia" w:eastAsiaTheme="minorEastAsia" w:cstheme="minorEastAsia"/>
                <w:sz w:val="24"/>
              </w:rPr>
              <w:t>率*指标满分值5分，指标得分不超过满分。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5"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产出质量</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12</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实名制管理覆盖率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用以反映和考核</w:t>
            </w:r>
            <w:r>
              <w:rPr>
                <w:rFonts w:hint="eastAsia" w:asciiTheme="minorEastAsia" w:hAnsiTheme="minorEastAsia" w:eastAsiaTheme="minorEastAsia" w:cstheme="minorEastAsia"/>
                <w:sz w:val="24"/>
              </w:rPr>
              <w:t>机构编制实名制系统升级改造</w:t>
            </w:r>
            <w:r>
              <w:rPr>
                <w:rFonts w:hint="eastAsia" w:asciiTheme="minorEastAsia" w:hAnsiTheme="minorEastAsia" w:eastAsiaTheme="minorEastAsia" w:cstheme="minorEastAsia"/>
                <w:kern w:val="0"/>
                <w:sz w:val="24"/>
              </w:rPr>
              <w:t>质量目标的实现程度。</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实名制管理覆盖率达100%的，得3分；覆盖率达不到100%的，按实际覆盖率赋分。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系统正常运行率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项目实施后</w:t>
            </w:r>
            <w:r>
              <w:rPr>
                <w:rFonts w:hint="eastAsia" w:asciiTheme="minorEastAsia" w:hAnsiTheme="minorEastAsia" w:eastAsiaTheme="minorEastAsia" w:cstheme="minorEastAsia"/>
                <w:sz w:val="24"/>
              </w:rPr>
              <w:t>机构编制实名制系统</w:t>
            </w:r>
            <w:r>
              <w:rPr>
                <w:rFonts w:hint="eastAsia" w:asciiTheme="minorEastAsia" w:hAnsiTheme="minorEastAsia" w:eastAsiaTheme="minorEastAsia" w:cstheme="minorEastAsia"/>
                <w:kern w:val="0"/>
                <w:sz w:val="24"/>
              </w:rPr>
              <w:t>是否能正常运行，用以反映和考核</w:t>
            </w:r>
            <w:r>
              <w:rPr>
                <w:rFonts w:hint="eastAsia" w:asciiTheme="minorEastAsia" w:hAnsiTheme="minorEastAsia" w:eastAsiaTheme="minorEastAsia" w:cstheme="minorEastAsia"/>
                <w:sz w:val="24"/>
              </w:rPr>
              <w:t>实名制系统升级改造及维护</w:t>
            </w:r>
            <w:r>
              <w:rPr>
                <w:rFonts w:hint="eastAsia" w:asciiTheme="minorEastAsia" w:hAnsiTheme="minorEastAsia" w:eastAsiaTheme="minorEastAsia" w:cstheme="minorEastAsia"/>
                <w:kern w:val="0"/>
                <w:sz w:val="24"/>
              </w:rPr>
              <w:t>质量目标的实现程度。</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通过项目实施，系统正常运行率为100%，年度无使用故障的，得3分；运行率达不到100%的，按实际运行率赋分。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维修（护）质量达标率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用以反映和考核</w:t>
            </w:r>
            <w:r>
              <w:rPr>
                <w:rFonts w:hint="eastAsia" w:asciiTheme="minorEastAsia" w:hAnsiTheme="minorEastAsia" w:eastAsiaTheme="minorEastAsia" w:cstheme="minorEastAsia"/>
                <w:sz w:val="24"/>
              </w:rPr>
              <w:t>机构编制实名制系统升级改造、平台维修（护）</w:t>
            </w:r>
            <w:r>
              <w:rPr>
                <w:rFonts w:hint="eastAsia" w:asciiTheme="minorEastAsia" w:hAnsiTheme="minorEastAsia" w:eastAsiaTheme="minorEastAsia" w:cstheme="minorEastAsia"/>
                <w:kern w:val="0"/>
                <w:sz w:val="24"/>
              </w:rPr>
              <w:t>质量目标的实现程度。</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系统维修（护）质量达标率达100%的，得2分；系统维修（护）质量达标率达不到100%的，按实际达标率赋分。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培训覆盖率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rPr>
              <w:t>用以反映和考核培训人员的覆盖程度。</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sz w:val="24"/>
              </w:rPr>
              <w:t>培训</w:t>
            </w:r>
            <w:r>
              <w:rPr>
                <w:rFonts w:hint="eastAsia" w:asciiTheme="minorEastAsia" w:hAnsiTheme="minorEastAsia" w:eastAsiaTheme="minorEastAsia" w:cstheme="minorEastAsia"/>
                <w:kern w:val="0"/>
                <w:sz w:val="24"/>
              </w:rPr>
              <w:t>覆盖省直各单位，地州市、县，</w:t>
            </w:r>
            <w:r>
              <w:rPr>
                <w:rFonts w:hint="eastAsia" w:asciiTheme="minorEastAsia" w:hAnsiTheme="minorEastAsia" w:eastAsiaTheme="minorEastAsia" w:cstheme="minorEastAsia"/>
                <w:sz w:val="24"/>
              </w:rPr>
              <w:t>覆盖率达100%的，得2分， 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考察调研覆盖率</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rPr>
              <w:t>用以反映和考核考察调研的覆盖程度。</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sz w:val="24"/>
              </w:rPr>
              <w:t>考察调研</w:t>
            </w:r>
            <w:r>
              <w:rPr>
                <w:rFonts w:hint="eastAsia" w:asciiTheme="minorEastAsia" w:hAnsiTheme="minorEastAsia" w:eastAsiaTheme="minorEastAsia" w:cstheme="minorEastAsia"/>
                <w:kern w:val="0"/>
                <w:sz w:val="24"/>
              </w:rPr>
              <w:t>覆盖省直单位，地州市、县，</w:t>
            </w:r>
            <w:r>
              <w:rPr>
                <w:rFonts w:hint="eastAsia" w:asciiTheme="minorEastAsia" w:hAnsiTheme="minorEastAsia" w:eastAsiaTheme="minorEastAsia" w:cstheme="minorEastAsia"/>
                <w:sz w:val="24"/>
              </w:rPr>
              <w:t>覆盖率达100%的，得2分， 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产出时效</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6</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系统升级维护及时性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单位（部门）在规定时限内督促驻场运维工程师及时完成系统升级维护，用以反映和考核系统升级维护的及时性。</w:t>
            </w:r>
          </w:p>
        </w:tc>
        <w:tc>
          <w:tcPr>
            <w:tcW w:w="1939" w:type="pct"/>
            <w:shd w:val="clear" w:color="auto" w:fill="auto"/>
            <w:tcMar>
              <w:top w:w="15" w:type="dxa"/>
              <w:left w:w="15" w:type="dxa"/>
              <w:right w:w="15" w:type="dxa"/>
            </w:tcMar>
            <w:vAlign w:val="center"/>
          </w:tcPr>
          <w:p>
            <w:pPr>
              <w:spacing w:line="240" w:lineRule="auto"/>
              <w:ind w:firstLine="0" w:firstLineChars="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根据升级维护工作日志和验收记录，在系统出现故障预警时及时完成系统升级维护的，得2分，否则不得分。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会议培训及时性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单位（部门）在重要时间节点或按中央编办的会议、文件要求，及时召开会议、组织培训，用以反映和考核会议培训的及时性。</w:t>
            </w:r>
          </w:p>
        </w:tc>
        <w:tc>
          <w:tcPr>
            <w:tcW w:w="1939" w:type="pct"/>
            <w:shd w:val="clear" w:color="auto" w:fill="auto"/>
            <w:tcMar>
              <w:top w:w="15" w:type="dxa"/>
              <w:left w:w="15" w:type="dxa"/>
              <w:right w:w="15" w:type="dxa"/>
            </w:tcMar>
            <w:vAlign w:val="center"/>
          </w:tcPr>
          <w:p>
            <w:pPr>
              <w:spacing w:line="240" w:lineRule="auto"/>
              <w:ind w:firstLine="0" w:firstLineChars="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根据会议、培训记录及相关档案，及时召开会议、组织培训的，得2分，否则不得分。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rPr>
              <w:t>用电保障及时性</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单位（部门）及时缴纳机房电费，确保各系统正常运行，用以反映和考核电费缴纳的及时性。</w:t>
            </w:r>
          </w:p>
        </w:tc>
        <w:tc>
          <w:tcPr>
            <w:tcW w:w="1939" w:type="pct"/>
            <w:shd w:val="clear" w:color="auto" w:fill="auto"/>
            <w:tcMar>
              <w:top w:w="15" w:type="dxa"/>
              <w:left w:w="15" w:type="dxa"/>
              <w:right w:w="15" w:type="dxa"/>
            </w:tcMar>
            <w:vAlign w:val="center"/>
          </w:tcPr>
          <w:p>
            <w:pPr>
              <w:spacing w:line="240" w:lineRule="auto"/>
              <w:ind w:firstLine="0" w:firstLineChars="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根据电费缴纳明细，结合实际情况，及时缴纳机房电费，保障了各系统正常运行的得2分，否则不得分。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产出成本</w:t>
            </w:r>
          </w:p>
        </w:tc>
        <w:tc>
          <w:tcPr>
            <w:tcW w:w="255"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rPr>
              <w:t>预算成本控制</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2</w:t>
            </w:r>
          </w:p>
        </w:tc>
        <w:tc>
          <w:tcPr>
            <w:tcW w:w="1065" w:type="pct"/>
            <w:shd w:val="clear" w:color="auto" w:fill="auto"/>
            <w:tcMar>
              <w:top w:w="15" w:type="dxa"/>
              <w:left w:w="15" w:type="dxa"/>
              <w:right w:w="15" w:type="dxa"/>
            </w:tcMar>
            <w:vAlign w:val="center"/>
          </w:tcPr>
          <w:p>
            <w:pPr>
              <w:spacing w:line="240" w:lineRule="auto"/>
              <w:ind w:firstLine="0" w:firstLineChars="0"/>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完成项目计划工作目标的实际节约成本与计划成本的比较，用以反映和考核预算成本执行结果。</w:t>
            </w:r>
          </w:p>
        </w:tc>
        <w:tc>
          <w:tcPr>
            <w:tcW w:w="1939" w:type="pct"/>
            <w:shd w:val="clear" w:color="auto" w:fill="auto"/>
            <w:tcMar>
              <w:top w:w="15" w:type="dxa"/>
              <w:left w:w="15" w:type="dxa"/>
              <w:right w:w="15" w:type="dxa"/>
            </w:tcMar>
            <w:vAlign w:val="center"/>
          </w:tcPr>
          <w:p>
            <w:pPr>
              <w:spacing w:line="240" w:lineRule="auto"/>
              <w:ind w:firstLine="0" w:firstLineChars="0"/>
              <w:jc w:val="left"/>
              <w:rPr>
                <w:rFonts w:asciiTheme="minorEastAsia" w:hAnsiTheme="minorEastAsia" w:eastAsiaTheme="minorEastAsia" w:cstheme="minorEastAsia"/>
                <w:kern w:val="0"/>
                <w:sz w:val="24"/>
              </w:rPr>
            </w:pPr>
            <w:r>
              <w:rPr>
                <w:rFonts w:hint="eastAsia" w:asciiTheme="minorEastAsia" w:hAnsiTheme="minorEastAsia" w:eastAsiaTheme="minorEastAsia" w:cstheme="minorEastAsia"/>
                <w:kern w:val="0"/>
                <w:sz w:val="24"/>
              </w:rPr>
              <w:t>项目预算成本执行结果没有超支，得满分；否则不得分。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18" w:hRule="atLeast"/>
          <w:jc w:val="center"/>
        </w:trPr>
        <w:tc>
          <w:tcPr>
            <w:tcW w:w="354"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效益</w:t>
            </w:r>
          </w:p>
        </w:tc>
        <w:tc>
          <w:tcPr>
            <w:tcW w:w="257"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26</w:t>
            </w: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社会效益</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巩固深化机构改革成果</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3</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sz w:val="24"/>
              </w:rPr>
              <w:t>项目实施后部门（单 位）根据上级工作部署，查漏补缺，推动机构改革，用以</w:t>
            </w:r>
            <w:r>
              <w:rPr>
                <w:rFonts w:hint="eastAsia" w:asciiTheme="minorEastAsia" w:hAnsiTheme="minorEastAsia" w:eastAsiaTheme="minorEastAsia" w:cstheme="minorEastAsia"/>
                <w:kern w:val="0"/>
                <w:sz w:val="24"/>
              </w:rPr>
              <w:t>反映和考核项目实施对</w:t>
            </w:r>
            <w:r>
              <w:rPr>
                <w:rFonts w:hint="eastAsia" w:asciiTheme="minorEastAsia" w:hAnsiTheme="minorEastAsia" w:eastAsiaTheme="minorEastAsia" w:cstheme="minorEastAsia"/>
                <w:kern w:val="0"/>
                <w:sz w:val="24"/>
                <w:lang w:bidi="ar"/>
              </w:rPr>
              <w:t>巩固深化机构改革成果</w:t>
            </w:r>
            <w:r>
              <w:rPr>
                <w:rFonts w:hint="eastAsia" w:asciiTheme="minorEastAsia" w:hAnsiTheme="minorEastAsia" w:eastAsiaTheme="minorEastAsia" w:cstheme="minorEastAsia"/>
                <w:kern w:val="0"/>
                <w:sz w:val="24"/>
              </w:rPr>
              <w:t>作用发挥情况。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项目实施后，修订规范省级议事协调机构办事机构职责表述，准确界定职责范围；加强党政机构职能统筹，推动理顺归口领导、归口管理的体制机制。根据满意度调查结果赋分，项目实施对</w:t>
            </w:r>
            <w:r>
              <w:rPr>
                <w:rFonts w:hint="eastAsia" w:asciiTheme="minorEastAsia" w:hAnsiTheme="minorEastAsia" w:eastAsiaTheme="minorEastAsia" w:cstheme="minorEastAsia"/>
                <w:kern w:val="0"/>
                <w:sz w:val="24"/>
                <w:lang w:bidi="ar"/>
              </w:rPr>
              <w:t>巩固深化机构改革成果有效的满意度为100%，得3分；满意度低于100%的，按比例得分。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优化编制资源配置</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用以反映和考核项目实施对全省编制资源的统筹使用情况</w:t>
            </w:r>
            <w:r>
              <w:rPr>
                <w:rFonts w:hint="eastAsia" w:asciiTheme="minorEastAsia" w:hAnsiTheme="minorEastAsia" w:eastAsiaTheme="minorEastAsia" w:cstheme="minorEastAsia"/>
                <w:kern w:val="0"/>
                <w:sz w:val="24"/>
              </w:rPr>
              <w:t>。</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后，建立健全机构编制动态调整和管理评估机制，统筹用好编制资源，把有限的编制资源用在落实党中央重大决策部署、推动全省事业发展的重点领域，提升机构编制资源使用效益。根据满意度调查结果赋分，项目实施对优化编制资源配置</w:t>
            </w:r>
            <w:r>
              <w:rPr>
                <w:rFonts w:hint="eastAsia" w:asciiTheme="minorEastAsia" w:hAnsiTheme="minorEastAsia" w:eastAsiaTheme="minorEastAsia" w:cstheme="minorEastAsia"/>
                <w:kern w:val="0"/>
                <w:sz w:val="24"/>
                <w:lang w:bidi="ar"/>
              </w:rPr>
              <w:t>成果有效的满意度为100%，得3分；满意度低于100%的，按比例得分。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推进重点领域改革</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用以反映和考核项目实施对应急管理、公共卫生应急管理、文物保护、生态保护等重点领域改革的推动情况</w:t>
            </w:r>
            <w:r>
              <w:rPr>
                <w:rFonts w:hint="eastAsia" w:asciiTheme="minorEastAsia" w:hAnsiTheme="minorEastAsia" w:eastAsiaTheme="minorEastAsia" w:cstheme="minorEastAsia"/>
                <w:kern w:val="0"/>
                <w:sz w:val="24"/>
              </w:rPr>
              <w:t>。</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项目实施后，应急管理、公共卫生应急管理、文物保护、生态保护等重点领域改革有序推进。根据满意度调查结果赋分，项目实施对推进重点领域改革</w:t>
            </w:r>
            <w:r>
              <w:rPr>
                <w:rFonts w:hint="eastAsia" w:asciiTheme="minorEastAsia" w:hAnsiTheme="minorEastAsia" w:eastAsiaTheme="minorEastAsia" w:cstheme="minorEastAsia"/>
                <w:kern w:val="0"/>
                <w:sz w:val="24"/>
                <w:lang w:bidi="ar"/>
              </w:rPr>
              <w:t>有效的满意度为100%，得3分；满意度低于100%的，按比例得分。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提升机构编制法治意识</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用以反映和考核项目实施对各单位机构编制法制意识的提升情况。</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项目实施后，通过《条例》学习，使工作人员的机构编制法治意识有明显提升的</w:t>
            </w:r>
            <w:r>
              <w:rPr>
                <w:rFonts w:hint="eastAsia" w:ascii="宋体" w:hAnsi="宋体" w:eastAsia="宋体" w:cs="宋体"/>
                <w:kern w:val="0"/>
                <w:sz w:val="24"/>
                <w:lang w:bidi="ar"/>
              </w:rPr>
              <w:t>，得3分；</w:t>
            </w:r>
            <w:r>
              <w:rPr>
                <w:rFonts w:hint="eastAsia" w:asciiTheme="minorEastAsia" w:hAnsiTheme="minorEastAsia" w:eastAsiaTheme="minorEastAsia" w:cstheme="minorEastAsia"/>
                <w:sz w:val="24"/>
              </w:rPr>
              <w:t>工作人员的机构编制法治意识有提升的</w:t>
            </w:r>
            <w:r>
              <w:rPr>
                <w:rFonts w:hint="eastAsia" w:ascii="宋体" w:hAnsi="宋体" w:eastAsia="宋体" w:cs="宋体"/>
                <w:kern w:val="0"/>
                <w:sz w:val="24"/>
                <w:lang w:bidi="ar"/>
              </w:rPr>
              <w:t>，得2分；</w:t>
            </w:r>
            <w:r>
              <w:rPr>
                <w:rFonts w:hint="eastAsia" w:asciiTheme="minorEastAsia" w:hAnsiTheme="minorEastAsia" w:eastAsiaTheme="minorEastAsia" w:cstheme="minorEastAsia"/>
                <w:sz w:val="24"/>
              </w:rPr>
              <w:t>作人员的机构编制法治意识没有得到提升的</w:t>
            </w:r>
            <w:r>
              <w:rPr>
                <w:rFonts w:hint="eastAsia" w:asciiTheme="minorEastAsia" w:hAnsiTheme="minorEastAsia" w:eastAsiaTheme="minorEastAsia" w:cstheme="minorEastAsia"/>
                <w:kern w:val="0"/>
                <w:sz w:val="24"/>
                <w:lang w:bidi="ar"/>
              </w:rPr>
              <w:t>，不得分。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kern w:val="0"/>
                <w:sz w:val="24"/>
                <w:lang w:bidi="ar"/>
              </w:rPr>
              <w:t>可持续影响</w:t>
            </w:r>
          </w:p>
        </w:tc>
        <w:tc>
          <w:tcPr>
            <w:tcW w:w="255" w:type="pct"/>
            <w:vMerge w:val="restar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提升机构编制管理服务水平</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反映和考核项目实施对提升机构编制管理服务水平的可持续影响。</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项目实施后，对提升机构编制管理服务水平</w:t>
            </w:r>
            <w:r>
              <w:rPr>
                <w:rFonts w:hint="eastAsia" w:ascii="宋体" w:hAnsi="宋体" w:eastAsia="宋体" w:cs="宋体"/>
                <w:kern w:val="0"/>
                <w:sz w:val="24"/>
                <w:lang w:bidi="ar"/>
              </w:rPr>
              <w:t>可持续影响作用明显，得3分；对</w:t>
            </w:r>
            <w:r>
              <w:rPr>
                <w:rFonts w:hint="eastAsia" w:asciiTheme="minorEastAsia" w:hAnsiTheme="minorEastAsia" w:eastAsiaTheme="minorEastAsia" w:cstheme="minorEastAsia"/>
                <w:sz w:val="24"/>
              </w:rPr>
              <w:t>提升机构编制管理服务水平</w:t>
            </w:r>
            <w:r>
              <w:rPr>
                <w:rFonts w:hint="eastAsia" w:ascii="宋体" w:hAnsi="宋体" w:eastAsia="宋体" w:cs="宋体"/>
                <w:kern w:val="0"/>
                <w:sz w:val="24"/>
                <w:lang w:bidi="ar"/>
              </w:rPr>
              <w:t>可持续影响作用一般，得2分；对</w:t>
            </w:r>
            <w:r>
              <w:rPr>
                <w:rFonts w:hint="eastAsia" w:asciiTheme="minorEastAsia" w:hAnsiTheme="minorEastAsia" w:eastAsiaTheme="minorEastAsia" w:cstheme="minorEastAsia"/>
                <w:sz w:val="24"/>
              </w:rPr>
              <w:t>提升机构编制管理服务水平</w:t>
            </w:r>
            <w:r>
              <w:rPr>
                <w:rFonts w:hint="eastAsia" w:ascii="宋体" w:hAnsi="宋体" w:eastAsia="宋体" w:cs="宋体"/>
                <w:kern w:val="0"/>
                <w:sz w:val="24"/>
                <w:lang w:bidi="ar"/>
              </w:rPr>
              <w:t>可持续影响作用不明</w:t>
            </w:r>
            <w:r>
              <w:rPr>
                <w:rFonts w:hint="eastAsia" w:asciiTheme="minorEastAsia" w:hAnsiTheme="minorEastAsia" w:eastAsiaTheme="minorEastAsia" w:cstheme="minorEastAsia"/>
                <w:kern w:val="0"/>
                <w:sz w:val="24"/>
                <w:lang w:bidi="ar"/>
              </w:rPr>
              <w:t>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8"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建立健全部门协作机制</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反映和</w:t>
            </w:r>
            <w:r>
              <w:rPr>
                <w:rFonts w:hint="eastAsia" w:asciiTheme="minorEastAsia" w:hAnsiTheme="minorEastAsia" w:eastAsiaTheme="minorEastAsia" w:cstheme="minorEastAsia"/>
                <w:kern w:val="0"/>
                <w:sz w:val="24"/>
                <w:lang w:bidi="ar"/>
              </w:rPr>
              <w:t>考核项目实施对</w:t>
            </w:r>
            <w:r>
              <w:rPr>
                <w:rFonts w:hint="eastAsia" w:asciiTheme="minorEastAsia" w:hAnsiTheme="minorEastAsia" w:eastAsiaTheme="minorEastAsia" w:cstheme="minorEastAsia"/>
                <w:sz w:val="24"/>
              </w:rPr>
              <w:t>建立健全部门协作机制产生的可持续影响作用。</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项目实施后，对建立健全部门协同开展机构编制督查的协作机制可持续影响</w:t>
            </w:r>
            <w:r>
              <w:rPr>
                <w:rFonts w:hint="eastAsia" w:asciiTheme="minorEastAsia" w:hAnsiTheme="minorEastAsia" w:eastAsiaTheme="minorEastAsia" w:cstheme="minorEastAsia"/>
                <w:kern w:val="0"/>
                <w:sz w:val="24"/>
                <w:lang w:bidi="ar"/>
              </w:rPr>
              <w:t>作用明显的，得3分；</w:t>
            </w:r>
            <w:r>
              <w:rPr>
                <w:rFonts w:hint="eastAsia" w:ascii="宋体" w:hAnsi="宋体" w:eastAsia="宋体" w:cs="宋体"/>
                <w:kern w:val="0"/>
                <w:sz w:val="24"/>
                <w:lang w:bidi="ar"/>
              </w:rPr>
              <w:t>对</w:t>
            </w:r>
            <w:r>
              <w:rPr>
                <w:rFonts w:hint="eastAsia" w:asciiTheme="minorEastAsia" w:hAnsiTheme="minorEastAsia" w:eastAsiaTheme="minorEastAsia" w:cstheme="minorEastAsia"/>
                <w:sz w:val="24"/>
              </w:rPr>
              <w:t>建立健全部门协作机制</w:t>
            </w:r>
            <w:r>
              <w:rPr>
                <w:rFonts w:hint="eastAsia" w:ascii="宋体" w:hAnsi="宋体" w:eastAsia="宋体" w:cs="宋体"/>
                <w:kern w:val="0"/>
                <w:sz w:val="24"/>
                <w:lang w:bidi="ar"/>
              </w:rPr>
              <w:t>可持续影响作用一般，得2分；对</w:t>
            </w:r>
            <w:r>
              <w:rPr>
                <w:rFonts w:hint="eastAsia" w:asciiTheme="minorEastAsia" w:hAnsiTheme="minorEastAsia" w:eastAsiaTheme="minorEastAsia" w:cstheme="minorEastAsia"/>
                <w:sz w:val="24"/>
              </w:rPr>
              <w:t>建立健全部门协作机制</w:t>
            </w:r>
            <w:r>
              <w:rPr>
                <w:rFonts w:hint="eastAsia" w:ascii="宋体" w:hAnsi="宋体" w:eastAsia="宋体" w:cs="宋体"/>
                <w:kern w:val="0"/>
                <w:sz w:val="24"/>
                <w:lang w:bidi="ar"/>
              </w:rPr>
              <w:t>可持续影响作用不明</w:t>
            </w:r>
            <w:r>
              <w:rPr>
                <w:rFonts w:hint="eastAsia" w:asciiTheme="minorEastAsia" w:hAnsiTheme="minorEastAsia" w:eastAsiaTheme="minorEastAsia" w:cstheme="minorEastAsia"/>
                <w:kern w:val="0"/>
                <w:sz w:val="24"/>
                <w:lang w:bidi="ar"/>
              </w:rPr>
              <w:t>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5"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建立信息共享机制</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1065"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宋体" w:hAnsi="宋体" w:eastAsia="宋体" w:cs="宋体"/>
                <w:kern w:val="0"/>
                <w:sz w:val="24"/>
                <w:lang w:bidi="ar"/>
              </w:rPr>
              <w:t>反映和考核项目实施对</w:t>
            </w:r>
            <w:r>
              <w:rPr>
                <w:rFonts w:hint="eastAsia" w:asciiTheme="minorEastAsia" w:hAnsiTheme="minorEastAsia" w:eastAsiaTheme="minorEastAsia" w:cstheme="minorEastAsia"/>
                <w:sz w:val="24"/>
              </w:rPr>
              <w:t>建立信息共享机制</w:t>
            </w:r>
            <w:r>
              <w:rPr>
                <w:rFonts w:hint="eastAsia" w:ascii="宋体" w:hAnsi="宋体" w:eastAsia="宋体" w:cs="宋体"/>
                <w:kern w:val="0"/>
                <w:sz w:val="24"/>
                <w:lang w:bidi="ar"/>
              </w:rPr>
              <w:t>的可持续影响作用。</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项目实施后</w:t>
            </w:r>
            <w:r>
              <w:rPr>
                <w:rFonts w:hint="eastAsia" w:ascii="宋体" w:hAnsi="宋体" w:eastAsia="宋体" w:cs="宋体"/>
                <w:kern w:val="0"/>
                <w:sz w:val="24"/>
                <w:lang w:bidi="ar"/>
              </w:rPr>
              <w:t>，对建立机构编制管理同组织人事、财政预算管理的信息共享平台可持续影响作用明显，得3分；对建立机构编制管理同组织人事、财政预算管理的信息共享平台可持续影响作用一般，得2分；对建立机构编制管理同组织人事、财政预算管理的信息共享平台可持续影响作用不明</w:t>
            </w:r>
            <w:r>
              <w:rPr>
                <w:rFonts w:hint="eastAsia" w:asciiTheme="minorEastAsia" w:hAnsiTheme="minorEastAsia" w:eastAsiaTheme="minorEastAsia" w:cstheme="minorEastAsia"/>
                <w:kern w:val="0"/>
                <w:sz w:val="24"/>
                <w:lang w:bidi="ar"/>
              </w:rPr>
              <w:t>显，不得分。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jc w:val="center"/>
        </w:trPr>
        <w:tc>
          <w:tcPr>
            <w:tcW w:w="354"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257" w:type="pct"/>
            <w:vMerge w:val="continue"/>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p>
        </w:tc>
        <w:tc>
          <w:tcPr>
            <w:tcW w:w="366" w:type="pct"/>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满意度</w:t>
            </w:r>
          </w:p>
        </w:tc>
        <w:tc>
          <w:tcPr>
            <w:tcW w:w="255" w:type="pct"/>
            <w:shd w:val="clear" w:color="auto" w:fill="auto"/>
            <w:tcMar>
              <w:top w:w="15" w:type="dxa"/>
              <w:left w:w="15" w:type="dxa"/>
              <w:right w:w="15" w:type="dxa"/>
            </w:tcMar>
            <w:vAlign w:val="center"/>
          </w:tcPr>
          <w:p>
            <w:pPr>
              <w:spacing w:line="240" w:lineRule="auto"/>
              <w:ind w:firstLine="0" w:firstLineChars="0"/>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513"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工作人员</w:t>
            </w:r>
          </w:p>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满意度</w:t>
            </w:r>
          </w:p>
        </w:tc>
        <w:tc>
          <w:tcPr>
            <w:tcW w:w="248" w:type="pct"/>
            <w:shd w:val="clear" w:color="auto" w:fill="auto"/>
            <w:tcMar>
              <w:top w:w="15" w:type="dxa"/>
              <w:left w:w="15" w:type="dxa"/>
              <w:right w:w="15" w:type="dxa"/>
            </w:tcMar>
            <w:vAlign w:val="center"/>
          </w:tcPr>
          <w:p>
            <w:pPr>
              <w:spacing w:line="240" w:lineRule="auto"/>
              <w:ind w:firstLine="0" w:firstLineChars="0"/>
              <w:jc w:val="center"/>
              <w:textAlignment w:val="center"/>
              <w:rPr>
                <w:rFonts w:asciiTheme="minorEastAsia" w:hAnsiTheme="minorEastAsia" w:eastAsiaTheme="minorEastAsia" w:cstheme="minorEastAsia"/>
                <w:kern w:val="0"/>
                <w:sz w:val="24"/>
                <w:lang w:bidi="ar"/>
              </w:rPr>
            </w:pPr>
            <w:r>
              <w:rPr>
                <w:rFonts w:hint="eastAsia" w:asciiTheme="minorEastAsia" w:hAnsiTheme="minorEastAsia" w:eastAsiaTheme="minorEastAsia" w:cstheme="minorEastAsia"/>
                <w:kern w:val="0"/>
                <w:sz w:val="24"/>
                <w:lang w:bidi="ar"/>
              </w:rPr>
              <w:t>5</w:t>
            </w:r>
          </w:p>
        </w:tc>
        <w:tc>
          <w:tcPr>
            <w:tcW w:w="1065" w:type="pct"/>
            <w:shd w:val="clear" w:color="auto" w:fill="auto"/>
            <w:tcMar>
              <w:top w:w="15" w:type="dxa"/>
              <w:left w:w="15" w:type="dxa"/>
              <w:right w:w="15" w:type="dxa"/>
            </w:tcMar>
            <w:vAlign w:val="center"/>
          </w:tcPr>
          <w:p>
            <w:pPr>
              <w:spacing w:line="240" w:lineRule="auto"/>
              <w:ind w:firstLine="0" w:firstLineChars="0"/>
              <w:jc w:val="left"/>
              <w:textAlignment w:val="center"/>
              <w:rPr>
                <w:rFonts w:asciiTheme="minorEastAsia" w:hAnsiTheme="minorEastAsia" w:eastAsiaTheme="minorEastAsia" w:cstheme="minorEastAsia"/>
                <w:kern w:val="0"/>
                <w:sz w:val="24"/>
              </w:rPr>
            </w:pPr>
            <w:r>
              <w:rPr>
                <w:rFonts w:hint="eastAsia" w:ascii="宋体" w:hAnsi="宋体" w:eastAsia="宋体" w:cs="宋体"/>
                <w:kern w:val="0"/>
                <w:sz w:val="24"/>
                <w:lang w:bidi="ar"/>
              </w:rPr>
              <w:t>通过调查问卷，了解</w:t>
            </w:r>
            <w:r>
              <w:rPr>
                <w:rFonts w:hint="eastAsia" w:asciiTheme="minorEastAsia" w:hAnsiTheme="minorEastAsia" w:eastAsiaTheme="minorEastAsia" w:cstheme="minorEastAsia"/>
                <w:kern w:val="0"/>
                <w:sz w:val="24"/>
              </w:rPr>
              <w:t>各处室工作人员对项目实施效果的满意程度。</w:t>
            </w:r>
          </w:p>
        </w:tc>
        <w:tc>
          <w:tcPr>
            <w:tcW w:w="1939" w:type="pct"/>
            <w:shd w:val="clear" w:color="auto" w:fill="auto"/>
            <w:tcMar>
              <w:top w:w="15" w:type="dxa"/>
              <w:left w:w="15" w:type="dxa"/>
              <w:right w:w="15" w:type="dxa"/>
            </w:tcMar>
            <w:vAlign w:val="center"/>
          </w:tcPr>
          <w:p>
            <w:pPr>
              <w:spacing w:line="240" w:lineRule="auto"/>
              <w:ind w:firstLine="0" w:firstLineChars="0"/>
              <w:textAlignment w:val="center"/>
              <w:rPr>
                <w:rFonts w:ascii="宋体" w:hAnsi="宋体" w:eastAsia="宋体" w:cs="宋体"/>
                <w:kern w:val="0"/>
                <w:sz w:val="24"/>
                <w:lang w:bidi="ar"/>
              </w:rPr>
            </w:pPr>
            <w:r>
              <w:rPr>
                <w:rFonts w:hint="eastAsia" w:ascii="宋体" w:hAnsi="宋体" w:eastAsia="宋体" w:cs="宋体"/>
                <w:kern w:val="0"/>
                <w:sz w:val="24"/>
                <w:lang w:bidi="ar"/>
              </w:rPr>
              <w:t>根据调查问卷的工作人员满意度，按比例得分，满意度=工作人员满意率*满分5分，指标得分不超过满分。</w:t>
            </w:r>
          </w:p>
        </w:tc>
      </w:tr>
    </w:tbl>
    <w:p>
      <w:pPr>
        <w:spacing w:line="240" w:lineRule="auto"/>
        <w:ind w:firstLine="0" w:firstLineChars="0"/>
      </w:pPr>
    </w:p>
    <w:p>
      <w:pPr>
        <w:spacing w:line="360" w:lineRule="auto"/>
        <w:ind w:firstLine="0" w:firstLineChars="0"/>
        <w:rPr>
          <w:rFonts w:ascii="楷体" w:hAnsi="楷体" w:eastAsia="楷体" w:cs="宋体"/>
          <w:b/>
          <w:szCs w:val="28"/>
        </w:rPr>
        <w:sectPr>
          <w:pgSz w:w="16838" w:h="11906" w:orient="landscape"/>
          <w:pgMar w:top="1800" w:right="1440" w:bottom="1800" w:left="1440" w:header="851" w:footer="722" w:gutter="0"/>
          <w:cols w:space="425" w:num="1"/>
          <w:docGrid w:type="lines" w:linePitch="435" w:charSpace="0"/>
        </w:sectPr>
      </w:pPr>
      <w:bookmarkStart w:id="93" w:name="_Toc700"/>
      <w:bookmarkStart w:id="94" w:name="_Toc7283"/>
    </w:p>
    <w:bookmarkEnd w:id="93"/>
    <w:bookmarkEnd w:id="94"/>
    <w:p>
      <w:pPr>
        <w:spacing w:line="360" w:lineRule="auto"/>
        <w:ind w:firstLine="0" w:firstLineChars="0"/>
        <w:outlineLvl w:val="0"/>
        <w:rPr>
          <w:rFonts w:ascii="楷体" w:hAnsi="楷体" w:eastAsia="楷体" w:cs="宋体"/>
          <w:b/>
          <w:szCs w:val="28"/>
        </w:rPr>
      </w:pPr>
      <w:bookmarkStart w:id="95" w:name="_Toc23376"/>
      <w:r>
        <w:rPr>
          <w:rFonts w:hint="eastAsia" w:ascii="楷体" w:hAnsi="楷体" w:eastAsia="楷体" w:cs="宋体"/>
          <w:b/>
          <w:szCs w:val="28"/>
        </w:rPr>
        <w:t>附件2 项目资金使用情况表</w:t>
      </w:r>
      <w:bookmarkEnd w:id="95"/>
    </w:p>
    <w:p>
      <w:pPr>
        <w:spacing w:line="480" w:lineRule="exact"/>
        <w:ind w:firstLine="0" w:firstLineChars="0"/>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中</w:t>
      </w:r>
      <w:r>
        <w:rPr>
          <w:rFonts w:cs="宋体" w:asciiTheme="minorEastAsia" w:hAnsiTheme="minorEastAsia" w:eastAsiaTheme="minorEastAsia"/>
          <w:b/>
          <w:kern w:val="0"/>
          <w:sz w:val="28"/>
          <w:szCs w:val="28"/>
        </w:rPr>
        <w:t>共</w:t>
      </w:r>
      <w:r>
        <w:rPr>
          <w:rFonts w:hint="eastAsia" w:cs="宋体" w:asciiTheme="minorEastAsia" w:hAnsiTheme="minorEastAsia" w:eastAsiaTheme="minorEastAsia"/>
          <w:b/>
          <w:kern w:val="0"/>
          <w:sz w:val="28"/>
          <w:szCs w:val="28"/>
        </w:rPr>
        <w:t>甘肃省委机构编制委员会办公室2020年专项业务费项目资金</w:t>
      </w:r>
    </w:p>
    <w:p>
      <w:pPr>
        <w:spacing w:line="480" w:lineRule="exact"/>
        <w:ind w:firstLine="0" w:firstLineChars="0"/>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支出明细表</w:t>
      </w:r>
    </w:p>
    <w:p>
      <w:pPr>
        <w:rPr>
          <w:sz w:val="30"/>
          <w:szCs w:val="30"/>
        </w:rPr>
      </w:pPr>
      <w:r>
        <w:rPr>
          <w:rFonts w:hint="eastAsia" w:cs="仿宋_GB2312"/>
          <w:color w:val="FF0000"/>
          <w:szCs w:val="32"/>
        </w:rPr>
        <w:t xml:space="preserve">                                   </w:t>
      </w:r>
      <w:r>
        <w:rPr>
          <w:rFonts w:hint="eastAsia" w:cs="仿宋_GB2312"/>
          <w:sz w:val="30"/>
          <w:szCs w:val="30"/>
        </w:rPr>
        <w:t xml:space="preserve"> </w:t>
      </w:r>
      <w:r>
        <w:rPr>
          <w:rFonts w:hint="eastAsia" w:cs="仿宋_GB2312"/>
          <w:b/>
          <w:sz w:val="30"/>
          <w:szCs w:val="30"/>
        </w:rPr>
        <w:t>单位：万元</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3"/>
        <w:gridCol w:w="2535"/>
        <w:gridCol w:w="1556"/>
        <w:gridCol w:w="2040"/>
        <w:gridCol w:w="15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b/>
                <w:bCs/>
                <w:sz w:val="24"/>
              </w:rPr>
            </w:pPr>
            <w:r>
              <w:rPr>
                <w:rFonts w:hint="eastAsia" w:ascii="宋体" w:hAnsi="宋体" w:eastAsia="宋体" w:cs="宋体"/>
                <w:b/>
                <w:bCs/>
                <w:sz w:val="24"/>
              </w:rPr>
              <w:t>序号</w:t>
            </w:r>
          </w:p>
        </w:tc>
        <w:tc>
          <w:tcPr>
            <w:tcW w:w="2535" w:type="dxa"/>
            <w:vAlign w:val="center"/>
          </w:tcPr>
          <w:p>
            <w:pPr>
              <w:spacing w:line="360" w:lineRule="auto"/>
              <w:ind w:firstLine="0" w:firstLineChars="0"/>
              <w:jc w:val="center"/>
              <w:rPr>
                <w:rFonts w:ascii="宋体" w:hAnsi="宋体" w:eastAsia="宋体" w:cs="宋体"/>
                <w:b/>
                <w:bCs/>
                <w:sz w:val="24"/>
              </w:rPr>
            </w:pPr>
            <w:r>
              <w:rPr>
                <w:rFonts w:hint="eastAsia" w:ascii="宋体" w:hAnsi="宋体" w:eastAsia="宋体" w:cs="宋体"/>
                <w:b/>
                <w:bCs/>
                <w:sz w:val="24"/>
              </w:rPr>
              <w:t>支出项目</w:t>
            </w:r>
          </w:p>
        </w:tc>
        <w:tc>
          <w:tcPr>
            <w:tcW w:w="1556" w:type="dxa"/>
            <w:vAlign w:val="center"/>
          </w:tcPr>
          <w:p>
            <w:pPr>
              <w:spacing w:line="360" w:lineRule="auto"/>
              <w:ind w:firstLine="0" w:firstLineChars="0"/>
              <w:jc w:val="center"/>
              <w:rPr>
                <w:rFonts w:ascii="宋体" w:hAnsi="宋体" w:eastAsia="宋体" w:cs="宋体"/>
                <w:b/>
                <w:bCs/>
                <w:sz w:val="24"/>
              </w:rPr>
            </w:pPr>
            <w:r>
              <w:rPr>
                <w:rFonts w:hint="eastAsia" w:ascii="宋体" w:hAnsi="宋体" w:eastAsia="宋体" w:cs="宋体"/>
                <w:b/>
                <w:bCs/>
                <w:sz w:val="24"/>
              </w:rPr>
              <w:t>预算经费</w:t>
            </w:r>
          </w:p>
        </w:tc>
        <w:tc>
          <w:tcPr>
            <w:tcW w:w="2040" w:type="dxa"/>
            <w:vAlign w:val="center"/>
          </w:tcPr>
          <w:p>
            <w:pPr>
              <w:spacing w:line="360" w:lineRule="auto"/>
              <w:ind w:firstLine="0" w:firstLineChars="0"/>
              <w:jc w:val="center"/>
              <w:rPr>
                <w:rFonts w:ascii="宋体" w:hAnsi="宋体" w:eastAsia="宋体" w:cs="宋体"/>
                <w:b/>
                <w:bCs/>
                <w:sz w:val="24"/>
              </w:rPr>
            </w:pPr>
            <w:r>
              <w:rPr>
                <w:rFonts w:hint="eastAsia" w:ascii="宋体" w:hAnsi="宋体" w:eastAsia="宋体" w:cs="宋体"/>
                <w:b/>
                <w:bCs/>
                <w:sz w:val="24"/>
              </w:rPr>
              <w:t>实际到位经费</w:t>
            </w:r>
          </w:p>
        </w:tc>
        <w:tc>
          <w:tcPr>
            <w:tcW w:w="1518" w:type="dxa"/>
            <w:vAlign w:val="center"/>
          </w:tcPr>
          <w:p>
            <w:pPr>
              <w:spacing w:line="360" w:lineRule="auto"/>
              <w:ind w:firstLine="0" w:firstLineChars="0"/>
              <w:jc w:val="center"/>
              <w:rPr>
                <w:rFonts w:ascii="宋体" w:hAnsi="宋体" w:eastAsia="宋体" w:cs="宋体"/>
                <w:b/>
                <w:bCs/>
                <w:sz w:val="24"/>
              </w:rPr>
            </w:pPr>
            <w:r>
              <w:rPr>
                <w:rFonts w:hint="eastAsia" w:ascii="宋体" w:hAnsi="宋体" w:eastAsia="宋体" w:cs="宋体"/>
                <w:b/>
                <w:bCs/>
                <w:sz w:val="24"/>
              </w:rPr>
              <w:t>支出经费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w:t>
            </w:r>
          </w:p>
        </w:tc>
        <w:tc>
          <w:tcPr>
            <w:tcW w:w="2535"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办公费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25.577</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25.577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w:t>
            </w:r>
          </w:p>
        </w:tc>
        <w:tc>
          <w:tcPr>
            <w:tcW w:w="2535"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印刷费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16.54</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16.54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3</w:t>
            </w:r>
          </w:p>
        </w:tc>
        <w:tc>
          <w:tcPr>
            <w:tcW w:w="2535" w:type="dxa"/>
            <w:vAlign w:val="center"/>
          </w:tcPr>
          <w:p>
            <w:pPr>
              <w:spacing w:line="360" w:lineRule="exact"/>
              <w:ind w:firstLine="0" w:firstLineChars="0"/>
              <w:jc w:val="center"/>
              <w:rPr>
                <w:rFonts w:ascii="宋体" w:hAnsi="宋体" w:eastAsia="宋体" w:cs="宋体"/>
                <w:sz w:val="24"/>
              </w:rPr>
            </w:pPr>
            <w:r>
              <w:rPr>
                <w:rFonts w:hint="eastAsia" w:ascii="宋体" w:hAnsi="宋体" w:eastAsia="宋体" w:cs="宋体"/>
                <w:sz w:val="24"/>
              </w:rPr>
              <w:t>电费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13</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4</w:t>
            </w:r>
          </w:p>
        </w:tc>
        <w:tc>
          <w:tcPr>
            <w:tcW w:w="2535" w:type="dxa"/>
            <w:vAlign w:val="center"/>
          </w:tcPr>
          <w:p>
            <w:pPr>
              <w:spacing w:line="360" w:lineRule="exact"/>
              <w:ind w:firstLine="0" w:firstLineChars="0"/>
              <w:jc w:val="center"/>
              <w:rPr>
                <w:rFonts w:ascii="宋体" w:hAnsi="宋体" w:eastAsia="宋体" w:cs="宋体"/>
                <w:sz w:val="24"/>
              </w:rPr>
            </w:pPr>
            <w:r>
              <w:rPr>
                <w:rFonts w:hint="eastAsia" w:ascii="宋体" w:hAnsi="宋体" w:eastAsia="宋体" w:cs="宋体"/>
                <w:sz w:val="24"/>
              </w:rPr>
              <w:t>取暖费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18.46</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18.46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5</w:t>
            </w:r>
          </w:p>
        </w:tc>
        <w:tc>
          <w:tcPr>
            <w:tcW w:w="2535" w:type="dxa"/>
            <w:vAlign w:val="center"/>
          </w:tcPr>
          <w:p>
            <w:pPr>
              <w:spacing w:line="360" w:lineRule="exact"/>
              <w:ind w:firstLine="0" w:firstLineChars="0"/>
              <w:jc w:val="center"/>
              <w:rPr>
                <w:rFonts w:ascii="宋体" w:hAnsi="宋体" w:eastAsia="宋体" w:cs="宋体"/>
                <w:sz w:val="24"/>
              </w:rPr>
            </w:pPr>
            <w:r>
              <w:rPr>
                <w:rFonts w:hint="eastAsia" w:ascii="宋体" w:hAnsi="宋体" w:eastAsia="宋体" w:cs="宋体"/>
                <w:sz w:val="24"/>
              </w:rPr>
              <w:t>差旅费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18.1136</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18.1136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6</w:t>
            </w:r>
          </w:p>
        </w:tc>
        <w:tc>
          <w:tcPr>
            <w:tcW w:w="2535" w:type="dxa"/>
            <w:vAlign w:val="center"/>
          </w:tcPr>
          <w:p>
            <w:pPr>
              <w:spacing w:line="360" w:lineRule="exact"/>
              <w:ind w:firstLine="0" w:firstLineChars="0"/>
              <w:jc w:val="center"/>
              <w:rPr>
                <w:rFonts w:ascii="宋体" w:hAnsi="宋体" w:eastAsia="宋体" w:cs="宋体"/>
                <w:sz w:val="24"/>
              </w:rPr>
            </w:pPr>
            <w:r>
              <w:rPr>
                <w:rFonts w:hint="eastAsia" w:ascii="宋体" w:hAnsi="宋体" w:eastAsia="宋体" w:cs="宋体"/>
                <w:sz w:val="24"/>
              </w:rPr>
              <w:t>维修（护）费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23</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7</w:t>
            </w:r>
          </w:p>
        </w:tc>
        <w:tc>
          <w:tcPr>
            <w:tcW w:w="2535" w:type="dxa"/>
            <w:vAlign w:val="center"/>
          </w:tcPr>
          <w:p>
            <w:pPr>
              <w:spacing w:line="360" w:lineRule="exact"/>
              <w:ind w:firstLine="0" w:firstLineChars="0"/>
              <w:jc w:val="center"/>
              <w:rPr>
                <w:rFonts w:ascii="宋体" w:hAnsi="宋体" w:eastAsia="宋体" w:cs="宋体"/>
                <w:sz w:val="24"/>
              </w:rPr>
            </w:pPr>
            <w:r>
              <w:rPr>
                <w:rFonts w:hint="eastAsia" w:ascii="宋体" w:hAnsi="宋体" w:eastAsia="宋体" w:cs="宋体"/>
                <w:sz w:val="24"/>
              </w:rPr>
              <w:t>租赁费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16.43</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8</w:t>
            </w:r>
          </w:p>
        </w:tc>
        <w:tc>
          <w:tcPr>
            <w:tcW w:w="2535" w:type="dxa"/>
            <w:vAlign w:val="center"/>
          </w:tcPr>
          <w:p>
            <w:pPr>
              <w:spacing w:line="360" w:lineRule="exact"/>
              <w:ind w:firstLine="0" w:firstLineChars="0"/>
              <w:jc w:val="center"/>
              <w:rPr>
                <w:rFonts w:ascii="宋体" w:hAnsi="宋体" w:eastAsia="宋体" w:cs="宋体"/>
                <w:sz w:val="24"/>
              </w:rPr>
            </w:pPr>
            <w:r>
              <w:rPr>
                <w:rFonts w:hint="eastAsia" w:ascii="宋体" w:hAnsi="宋体" w:eastAsia="宋体" w:cs="宋体"/>
                <w:sz w:val="24"/>
              </w:rPr>
              <w:t>会议费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25</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9</w:t>
            </w:r>
          </w:p>
        </w:tc>
        <w:tc>
          <w:tcPr>
            <w:tcW w:w="2535" w:type="dxa"/>
            <w:vAlign w:val="center"/>
          </w:tcPr>
          <w:p>
            <w:pPr>
              <w:spacing w:line="360" w:lineRule="exact"/>
              <w:ind w:firstLine="0" w:firstLineChars="0"/>
              <w:jc w:val="center"/>
              <w:rPr>
                <w:rFonts w:ascii="宋体" w:hAnsi="宋体" w:eastAsia="宋体" w:cs="宋体"/>
                <w:sz w:val="24"/>
              </w:rPr>
            </w:pPr>
            <w:r>
              <w:rPr>
                <w:rFonts w:hint="eastAsia" w:ascii="宋体" w:hAnsi="宋体" w:eastAsia="宋体" w:cs="宋体"/>
                <w:sz w:val="24"/>
              </w:rPr>
              <w:t>培训费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25.57</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25.57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10</w:t>
            </w:r>
          </w:p>
        </w:tc>
        <w:tc>
          <w:tcPr>
            <w:tcW w:w="2535" w:type="dxa"/>
            <w:vAlign w:val="center"/>
          </w:tcPr>
          <w:p>
            <w:pPr>
              <w:spacing w:line="360" w:lineRule="exact"/>
              <w:ind w:firstLine="0" w:firstLineChars="0"/>
              <w:jc w:val="center"/>
              <w:rPr>
                <w:rFonts w:ascii="宋体" w:hAnsi="宋体" w:eastAsia="宋体" w:cs="宋体"/>
                <w:sz w:val="24"/>
              </w:rPr>
            </w:pPr>
            <w:r>
              <w:rPr>
                <w:rFonts w:hint="eastAsia" w:ascii="宋体" w:hAnsi="宋体" w:eastAsia="宋体" w:cs="宋体"/>
                <w:sz w:val="24"/>
              </w:rPr>
              <w:t>办公设备购置费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25</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3"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11</w:t>
            </w:r>
          </w:p>
        </w:tc>
        <w:tc>
          <w:tcPr>
            <w:tcW w:w="2535" w:type="dxa"/>
            <w:vAlign w:val="center"/>
          </w:tcPr>
          <w:p>
            <w:pPr>
              <w:spacing w:line="360" w:lineRule="exact"/>
              <w:ind w:firstLine="0" w:firstLineChars="0"/>
              <w:jc w:val="center"/>
              <w:rPr>
                <w:rFonts w:ascii="宋体" w:hAnsi="宋体" w:eastAsia="宋体" w:cs="宋体"/>
                <w:sz w:val="24"/>
              </w:rPr>
            </w:pPr>
            <w:r>
              <w:rPr>
                <w:rFonts w:hint="eastAsia" w:ascii="宋体" w:hAnsi="宋体" w:eastAsia="宋体" w:cs="宋体"/>
                <w:sz w:val="24"/>
              </w:rPr>
              <w:t>信息网络及软件购置更新费</w:t>
            </w:r>
          </w:p>
        </w:tc>
        <w:tc>
          <w:tcPr>
            <w:tcW w:w="1556" w:type="dxa"/>
            <w:vAlign w:val="center"/>
          </w:tcPr>
          <w:p>
            <w:pPr>
              <w:spacing w:line="360" w:lineRule="auto"/>
              <w:ind w:firstLine="480"/>
              <w:jc w:val="center"/>
              <w:rPr>
                <w:rFonts w:ascii="宋体" w:hAnsi="宋体" w:eastAsia="宋体" w:cs="宋体"/>
                <w:sz w:val="24"/>
              </w:rPr>
            </w:pP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197</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197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08" w:type="dxa"/>
            <w:gridSpan w:val="2"/>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合计</w:t>
            </w:r>
          </w:p>
        </w:tc>
        <w:tc>
          <w:tcPr>
            <w:tcW w:w="1556"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400</w:t>
            </w:r>
          </w:p>
        </w:tc>
        <w:tc>
          <w:tcPr>
            <w:tcW w:w="2040"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403.6907</w:t>
            </w:r>
          </w:p>
        </w:tc>
        <w:tc>
          <w:tcPr>
            <w:tcW w:w="1518" w:type="dxa"/>
            <w:vAlign w:val="center"/>
          </w:tcPr>
          <w:p>
            <w:pPr>
              <w:spacing w:line="360" w:lineRule="auto"/>
              <w:ind w:firstLine="0" w:firstLineChars="0"/>
              <w:jc w:val="center"/>
              <w:rPr>
                <w:rFonts w:ascii="宋体" w:hAnsi="宋体" w:eastAsia="宋体" w:cs="宋体"/>
                <w:sz w:val="24"/>
              </w:rPr>
            </w:pPr>
            <w:r>
              <w:rPr>
                <w:rFonts w:hint="eastAsia" w:ascii="宋体" w:hAnsi="宋体" w:eastAsia="宋体" w:cs="宋体"/>
                <w:sz w:val="24"/>
              </w:rPr>
              <w:t>403.6907</w:t>
            </w:r>
          </w:p>
        </w:tc>
      </w:tr>
    </w:tbl>
    <w:p/>
    <w:p>
      <w:pPr>
        <w:sectPr>
          <w:footerReference r:id="rId14" w:type="default"/>
          <w:pgSz w:w="11906" w:h="16838"/>
          <w:pgMar w:top="1440" w:right="1800" w:bottom="1440" w:left="1800" w:header="851" w:footer="992" w:gutter="0"/>
          <w:cols w:space="425" w:num="1"/>
          <w:docGrid w:type="lines" w:linePitch="312" w:charSpace="0"/>
        </w:sectPr>
      </w:pPr>
    </w:p>
    <w:p>
      <w:pPr>
        <w:spacing w:line="360" w:lineRule="auto"/>
        <w:ind w:firstLine="0" w:firstLineChars="0"/>
        <w:outlineLvl w:val="0"/>
        <w:rPr>
          <w:rFonts w:ascii="楷体" w:hAnsi="楷体" w:eastAsia="楷体" w:cs="宋体"/>
          <w:b/>
          <w:szCs w:val="28"/>
        </w:rPr>
      </w:pPr>
      <w:bookmarkStart w:id="96" w:name="_Toc11336"/>
      <w:r>
        <w:rPr>
          <w:rFonts w:hint="eastAsia" w:ascii="楷体" w:hAnsi="楷体" w:eastAsia="楷体" w:cs="宋体"/>
          <w:b/>
          <w:szCs w:val="28"/>
        </w:rPr>
        <w:t>附件3 问卷调查满意度分析</w:t>
      </w:r>
      <w:bookmarkEnd w:id="96"/>
    </w:p>
    <w:p>
      <w:pPr>
        <w:spacing w:line="240" w:lineRule="auto"/>
        <w:ind w:firstLine="0" w:firstLineChars="0"/>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中</w:t>
      </w:r>
      <w:r>
        <w:rPr>
          <w:rFonts w:cs="宋体" w:asciiTheme="minorEastAsia" w:hAnsiTheme="minorEastAsia" w:eastAsiaTheme="minorEastAsia"/>
          <w:b/>
          <w:kern w:val="0"/>
          <w:sz w:val="28"/>
          <w:szCs w:val="28"/>
        </w:rPr>
        <w:t>共</w:t>
      </w:r>
      <w:r>
        <w:rPr>
          <w:rFonts w:hint="eastAsia" w:cs="宋体" w:asciiTheme="minorEastAsia" w:hAnsiTheme="minorEastAsia" w:eastAsiaTheme="minorEastAsia"/>
          <w:b/>
          <w:kern w:val="0"/>
          <w:sz w:val="28"/>
          <w:szCs w:val="28"/>
        </w:rPr>
        <w:t>甘肃省委机构编制委员会办公室2020年专项业务费项目</w:t>
      </w:r>
    </w:p>
    <w:p>
      <w:pPr>
        <w:spacing w:line="240" w:lineRule="auto"/>
        <w:ind w:firstLine="0" w:firstLineChars="0"/>
        <w:jc w:val="center"/>
        <w:rPr>
          <w:rFonts w:cs="宋体" w:asciiTheme="minorEastAsia" w:hAnsiTheme="minorEastAsia" w:eastAsiaTheme="minorEastAsia"/>
          <w:b/>
          <w:kern w:val="0"/>
          <w:sz w:val="28"/>
          <w:szCs w:val="28"/>
        </w:rPr>
      </w:pPr>
      <w:r>
        <w:rPr>
          <w:rFonts w:hint="eastAsia" w:cs="宋体" w:asciiTheme="minorEastAsia" w:hAnsiTheme="minorEastAsia" w:eastAsiaTheme="minorEastAsia"/>
          <w:b/>
          <w:kern w:val="0"/>
          <w:sz w:val="28"/>
          <w:szCs w:val="28"/>
        </w:rPr>
        <w:t>满意度调查问卷</w:t>
      </w:r>
    </w:p>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第1题   您的身份是？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4958"/>
        <w:gridCol w:w="1152"/>
        <w:gridCol w:w="2412"/>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选项</w:t>
            </w:r>
          </w:p>
        </w:tc>
        <w:tc>
          <w:tcPr>
            <w:tcW w:w="676" w:type="pct"/>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小计</w:t>
            </w:r>
          </w:p>
        </w:tc>
        <w:tc>
          <w:tcPr>
            <w:tcW w:w="1415" w:type="pct"/>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A、中</w:t>
            </w:r>
            <w:r>
              <w:rPr>
                <w:rFonts w:hAnsi="Times New Roman"/>
                <w:color w:val="000000"/>
                <w:kern w:val="0"/>
                <w:sz w:val="28"/>
                <w:szCs w:val="28"/>
              </w:rPr>
              <w:t>共</w:t>
            </w:r>
            <w:r>
              <w:rPr>
                <w:rFonts w:hint="eastAsia" w:hAnsi="Times New Roman"/>
                <w:color w:val="000000"/>
                <w:kern w:val="0"/>
                <w:sz w:val="28"/>
                <w:szCs w:val="28"/>
              </w:rPr>
              <w:t>甘肃省委机构编制委员会办公室工作人员</w:t>
            </w:r>
          </w:p>
        </w:tc>
        <w:tc>
          <w:tcPr>
            <w:tcW w:w="676" w:type="pct"/>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27</w:t>
            </w:r>
          </w:p>
        </w:tc>
        <w:tc>
          <w:tcPr>
            <w:tcW w:w="1415" w:type="pct"/>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10" name="图片 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 name="图片 298"/>
                          <pic:cNvPicPr>
                            <a:picLocks noChangeAspect="1"/>
                          </pic:cNvPicPr>
                        </pic:nvPicPr>
                        <pic:blipFill>
                          <a:blip r:embed="rId22"/>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100%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B、地州、市县机构编制委员会办公室工作人员</w:t>
            </w:r>
          </w:p>
        </w:tc>
        <w:tc>
          <w:tcPr>
            <w:tcW w:w="676" w:type="pct"/>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1415" w:type="pct"/>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09" name="图片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图片 299"/>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C、其他机关事业单位工作人员</w:t>
            </w:r>
          </w:p>
        </w:tc>
        <w:tc>
          <w:tcPr>
            <w:tcW w:w="676" w:type="pct"/>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1415" w:type="pct"/>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08" name="图片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 name="图片 300"/>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本题有效填写人次</w:t>
            </w:r>
          </w:p>
        </w:tc>
        <w:tc>
          <w:tcPr>
            <w:tcW w:w="676" w:type="pct"/>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27</w:t>
            </w:r>
          </w:p>
        </w:tc>
        <w:tc>
          <w:tcPr>
            <w:tcW w:w="1415" w:type="pct"/>
            <w:shd w:val="clear" w:color="auto" w:fill="E0E0E0"/>
            <w:vAlign w:val="center"/>
          </w:tcPr>
          <w:p>
            <w:pPr>
              <w:widowControl/>
              <w:spacing w:line="240" w:lineRule="auto"/>
              <w:ind w:firstLine="0" w:firstLineChars="0"/>
              <w:jc w:val="left"/>
              <w:rPr>
                <w:rFonts w:hAnsi="Times New Roman"/>
                <w:color w:val="000000"/>
                <w:kern w:val="0"/>
                <w:sz w:val="28"/>
                <w:szCs w:val="28"/>
              </w:rPr>
            </w:pPr>
          </w:p>
        </w:tc>
      </w:tr>
    </w:tbl>
    <w:p>
      <w:pPr>
        <w:widowControl/>
        <w:spacing w:line="240" w:lineRule="auto"/>
        <w:ind w:firstLine="0" w:firstLineChars="0"/>
        <w:jc w:val="left"/>
        <w:rPr>
          <w:rFonts w:hAnsi="Times New Roman"/>
          <w:color w:val="000000"/>
          <w:kern w:val="0"/>
          <w:sz w:val="28"/>
          <w:szCs w:val="28"/>
        </w:rPr>
      </w:pPr>
    </w:p>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第2题   您认为2020年机构编制实名制管理平台改造升级对提升机构编制管理服务水平的成效如何？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246"/>
        <w:gridCol w:w="1026"/>
        <w:gridCol w:w="42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选项</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小计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A、明显提升</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25</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247775" cy="114300"/>
                  <wp:effectExtent l="0" t="0" r="9525" b="0"/>
                  <wp:docPr id="311" name="图片 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1" name="图片 301"/>
                          <pic:cNvPicPr>
                            <a:picLocks noChangeAspect="1"/>
                          </pic:cNvPicPr>
                        </pic:nvPicPr>
                        <pic:blipFill>
                          <a:blip r:embed="rId24"/>
                          <a:stretch>
                            <a:fillRect/>
                          </a:stretch>
                        </pic:blipFill>
                        <pic:spPr>
                          <a:xfrm>
                            <a:off x="0" y="0"/>
                            <a:ext cx="124777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04775" cy="114300"/>
                  <wp:effectExtent l="0" t="0" r="9525" b="0"/>
                  <wp:docPr id="312" name="图片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 name="图片 302"/>
                          <pic:cNvPicPr>
                            <a:picLocks noChangeAspect="1"/>
                          </pic:cNvPicPr>
                        </pic:nvPicPr>
                        <pic:blipFill>
                          <a:blip r:embed="rId25"/>
                          <a:stretch>
                            <a:fillRect/>
                          </a:stretch>
                        </pic:blipFill>
                        <pic:spPr>
                          <a:xfrm>
                            <a:off x="0" y="0"/>
                            <a:ext cx="104775" cy="114300"/>
                          </a:xfrm>
                          <a:prstGeom prst="rect">
                            <a:avLst/>
                          </a:prstGeom>
                          <a:noFill/>
                          <a:ln>
                            <a:noFill/>
                          </a:ln>
                        </pic:spPr>
                      </pic:pic>
                    </a:graphicData>
                  </a:graphic>
                </wp:inline>
              </w:drawing>
            </w:r>
            <w:r>
              <w:rPr>
                <w:rFonts w:hint="eastAsia" w:hAnsi="Times New Roman"/>
                <w:color w:val="000000"/>
                <w:kern w:val="0"/>
                <w:sz w:val="28"/>
                <w:szCs w:val="28"/>
              </w:rPr>
              <w:t>92.59%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 xml:space="preserve">  B、有提升  </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95250" cy="114300"/>
                  <wp:effectExtent l="0" t="0" r="0" b="0"/>
                  <wp:docPr id="313" name="图片 3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3" name="图片 303"/>
                          <pic:cNvPicPr>
                            <a:picLocks noChangeAspect="1"/>
                          </pic:cNvPicPr>
                        </pic:nvPicPr>
                        <pic:blipFill>
                          <a:blip r:embed="rId26"/>
                          <a:stretch>
                            <a:fillRect/>
                          </a:stretch>
                        </pic:blipFill>
                        <pic:spPr>
                          <a:xfrm>
                            <a:off x="0" y="0"/>
                            <a:ext cx="95250"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257300" cy="114300"/>
                  <wp:effectExtent l="0" t="0" r="0" b="0"/>
                  <wp:docPr id="314" name="图片 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4" name="图片 304"/>
                          <pic:cNvPicPr>
                            <a:picLocks noChangeAspect="1"/>
                          </pic:cNvPicPr>
                        </pic:nvPicPr>
                        <pic:blipFill>
                          <a:blip r:embed="rId27"/>
                          <a:stretch>
                            <a:fillRect/>
                          </a:stretch>
                        </pic:blipFill>
                        <pic:spPr>
                          <a:xfrm>
                            <a:off x="0" y="0"/>
                            <a:ext cx="1257300" cy="114300"/>
                          </a:xfrm>
                          <a:prstGeom prst="rect">
                            <a:avLst/>
                          </a:prstGeom>
                          <a:noFill/>
                          <a:ln>
                            <a:noFill/>
                          </a:ln>
                        </pic:spPr>
                      </pic:pic>
                    </a:graphicData>
                  </a:graphic>
                </wp:inline>
              </w:drawing>
            </w:r>
            <w:r>
              <w:rPr>
                <w:rFonts w:hint="eastAsia" w:hAnsi="Times New Roman"/>
                <w:color w:val="000000"/>
                <w:kern w:val="0"/>
                <w:sz w:val="28"/>
                <w:szCs w:val="28"/>
              </w:rPr>
              <w:t>7.41%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 xml:space="preserve"> C、一般  </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15" name="图片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 name="图片 305"/>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 xml:space="preserve">  D、没有提升</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16" name="图片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 name="图片 306"/>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本题有效填写人次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27</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p>
        </w:tc>
      </w:tr>
    </w:tbl>
    <w:p>
      <w:pPr>
        <w:widowControl/>
        <w:spacing w:line="240" w:lineRule="auto"/>
        <w:ind w:firstLine="0" w:firstLineChars="0"/>
        <w:jc w:val="left"/>
        <w:rPr>
          <w:rFonts w:hAnsi="Times New Roman"/>
          <w:color w:val="000000"/>
          <w:kern w:val="0"/>
          <w:sz w:val="28"/>
          <w:szCs w:val="28"/>
        </w:rPr>
      </w:pPr>
    </w:p>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第3题   您认为2020年机构编制实名制管理平台、甘肃机构编制网等信息化系统运行是否正常？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334"/>
        <w:gridCol w:w="1053"/>
        <w:gridCol w:w="4135"/>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选项</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小计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 xml:space="preserve">A、正常  </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26</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295400" cy="114300"/>
                  <wp:effectExtent l="0" t="0" r="0" b="0"/>
                  <wp:docPr id="317" name="图片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 name="图片 307"/>
                          <pic:cNvPicPr>
                            <a:picLocks noChangeAspect="1"/>
                          </pic:cNvPicPr>
                        </pic:nvPicPr>
                        <pic:blipFill>
                          <a:blip r:embed="rId28"/>
                          <a:stretch>
                            <a:fillRect/>
                          </a:stretch>
                        </pic:blipFill>
                        <pic:spPr>
                          <a:xfrm>
                            <a:off x="0" y="0"/>
                            <a:ext cx="1295400"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57150" cy="114300"/>
                  <wp:effectExtent l="0" t="0" r="0" b="0"/>
                  <wp:docPr id="318" name="图片 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8" name="图片 308"/>
                          <pic:cNvPicPr>
                            <a:picLocks noChangeAspect="1"/>
                          </pic:cNvPicPr>
                        </pic:nvPicPr>
                        <pic:blipFill>
                          <a:blip r:embed="rId29"/>
                          <a:stretch>
                            <a:fillRect/>
                          </a:stretch>
                        </pic:blipFill>
                        <pic:spPr>
                          <a:xfrm>
                            <a:off x="0" y="0"/>
                            <a:ext cx="57150" cy="114300"/>
                          </a:xfrm>
                          <a:prstGeom prst="rect">
                            <a:avLst/>
                          </a:prstGeom>
                          <a:noFill/>
                          <a:ln>
                            <a:noFill/>
                          </a:ln>
                        </pic:spPr>
                      </pic:pic>
                    </a:graphicData>
                  </a:graphic>
                </wp:inline>
              </w:drawing>
            </w:r>
            <w:r>
              <w:rPr>
                <w:rFonts w:hint="eastAsia" w:hAnsi="Times New Roman"/>
                <w:color w:val="000000"/>
                <w:kern w:val="0"/>
                <w:sz w:val="28"/>
                <w:szCs w:val="28"/>
              </w:rPr>
              <w:t>96.3%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B、偶尔有故障</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1</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47625" cy="114300"/>
                  <wp:effectExtent l="0" t="0" r="9525" b="0"/>
                  <wp:docPr id="319" name="图片 3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9" name="图片 309"/>
                          <pic:cNvPicPr>
                            <a:picLocks noChangeAspect="1"/>
                          </pic:cNvPicPr>
                        </pic:nvPicPr>
                        <pic:blipFill>
                          <a:blip r:embed="rId30"/>
                          <a:stretch>
                            <a:fillRect/>
                          </a:stretch>
                        </pic:blipFill>
                        <pic:spPr>
                          <a:xfrm>
                            <a:off x="0" y="0"/>
                            <a:ext cx="4762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304925" cy="114300"/>
                  <wp:effectExtent l="0" t="0" r="9525" b="0"/>
                  <wp:docPr id="320" name="图片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0" name="图片 310"/>
                          <pic:cNvPicPr>
                            <a:picLocks noChangeAspect="1"/>
                          </pic:cNvPicPr>
                        </pic:nvPicPr>
                        <pic:blipFill>
                          <a:blip r:embed="rId31"/>
                          <a:stretch>
                            <a:fillRect/>
                          </a:stretch>
                        </pic:blipFill>
                        <pic:spPr>
                          <a:xfrm>
                            <a:off x="0" y="0"/>
                            <a:ext cx="1304925" cy="114300"/>
                          </a:xfrm>
                          <a:prstGeom prst="rect">
                            <a:avLst/>
                          </a:prstGeom>
                          <a:noFill/>
                          <a:ln>
                            <a:noFill/>
                          </a:ln>
                        </pic:spPr>
                      </pic:pic>
                    </a:graphicData>
                  </a:graphic>
                </wp:inline>
              </w:drawing>
            </w:r>
            <w:r>
              <w:rPr>
                <w:rFonts w:hint="eastAsia" w:hAnsi="Times New Roman"/>
                <w:color w:val="000000"/>
                <w:kern w:val="0"/>
                <w:sz w:val="28"/>
                <w:szCs w:val="28"/>
              </w:rPr>
              <w:t>3.7%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C、故障频繁</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21" name="图片 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1" name="图片 311"/>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本题有效填写人次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27</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p>
        </w:tc>
      </w:tr>
    </w:tbl>
    <w:p>
      <w:pPr>
        <w:widowControl/>
        <w:spacing w:line="240" w:lineRule="auto"/>
        <w:ind w:firstLine="0" w:firstLineChars="0"/>
        <w:jc w:val="left"/>
        <w:rPr>
          <w:rFonts w:hAnsi="Times New Roman"/>
          <w:color w:val="000000"/>
          <w:kern w:val="0"/>
          <w:sz w:val="28"/>
          <w:szCs w:val="28"/>
        </w:rPr>
      </w:pPr>
    </w:p>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第4题   您认为2020年专项业务费项目对巩固深化我省机构改革成果的成效如何？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246"/>
        <w:gridCol w:w="1026"/>
        <w:gridCol w:w="42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选项</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小计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A、非常有效</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20</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000125" cy="114300"/>
                  <wp:effectExtent l="0" t="0" r="9525" b="0"/>
                  <wp:docPr id="322" name="图片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 name="图片 312"/>
                          <pic:cNvPicPr>
                            <a:picLocks noChangeAspect="1"/>
                          </pic:cNvPicPr>
                        </pic:nvPicPr>
                        <pic:blipFill>
                          <a:blip r:embed="rId32"/>
                          <a:stretch>
                            <a:fillRect/>
                          </a:stretch>
                        </pic:blipFill>
                        <pic:spPr>
                          <a:xfrm>
                            <a:off x="0" y="0"/>
                            <a:ext cx="100012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352425" cy="114300"/>
                  <wp:effectExtent l="0" t="0" r="9525" b="0"/>
                  <wp:docPr id="323" name="图片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3" name="图片 313"/>
                          <pic:cNvPicPr>
                            <a:picLocks noChangeAspect="1"/>
                          </pic:cNvPicPr>
                        </pic:nvPicPr>
                        <pic:blipFill>
                          <a:blip r:embed="rId33"/>
                          <a:stretch>
                            <a:fillRect/>
                          </a:stretch>
                        </pic:blipFill>
                        <pic:spPr>
                          <a:xfrm>
                            <a:off x="0" y="0"/>
                            <a:ext cx="352425" cy="114300"/>
                          </a:xfrm>
                          <a:prstGeom prst="rect">
                            <a:avLst/>
                          </a:prstGeom>
                          <a:noFill/>
                          <a:ln>
                            <a:noFill/>
                          </a:ln>
                        </pic:spPr>
                      </pic:pic>
                    </a:graphicData>
                  </a:graphic>
                </wp:inline>
              </w:drawing>
            </w:r>
            <w:r>
              <w:rPr>
                <w:rFonts w:hint="eastAsia" w:hAnsi="Times New Roman"/>
                <w:color w:val="000000"/>
                <w:kern w:val="0"/>
                <w:sz w:val="28"/>
                <w:szCs w:val="28"/>
              </w:rPr>
              <w:t>74.07%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B、有效</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6</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295275" cy="114300"/>
                  <wp:effectExtent l="0" t="0" r="9525" b="0"/>
                  <wp:docPr id="324" name="图片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 name="图片 314"/>
                          <pic:cNvPicPr>
                            <a:picLocks noChangeAspect="1"/>
                          </pic:cNvPicPr>
                        </pic:nvPicPr>
                        <pic:blipFill>
                          <a:blip r:embed="rId34"/>
                          <a:stretch>
                            <a:fillRect/>
                          </a:stretch>
                        </pic:blipFill>
                        <pic:spPr>
                          <a:xfrm>
                            <a:off x="0" y="0"/>
                            <a:ext cx="29527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057275" cy="114300"/>
                  <wp:effectExtent l="0" t="0" r="9525" b="0"/>
                  <wp:docPr id="325" name="图片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 name="图片 315"/>
                          <pic:cNvPicPr>
                            <a:picLocks noChangeAspect="1"/>
                          </pic:cNvPicPr>
                        </pic:nvPicPr>
                        <pic:blipFill>
                          <a:blip r:embed="rId35"/>
                          <a:stretch>
                            <a:fillRect/>
                          </a:stretch>
                        </pic:blipFill>
                        <pic:spPr>
                          <a:xfrm>
                            <a:off x="0" y="0"/>
                            <a:ext cx="1057275" cy="114300"/>
                          </a:xfrm>
                          <a:prstGeom prst="rect">
                            <a:avLst/>
                          </a:prstGeom>
                          <a:noFill/>
                          <a:ln>
                            <a:noFill/>
                          </a:ln>
                        </pic:spPr>
                      </pic:pic>
                    </a:graphicData>
                  </a:graphic>
                </wp:inline>
              </w:drawing>
            </w:r>
            <w:r>
              <w:rPr>
                <w:rFonts w:hint="eastAsia" w:hAnsi="Times New Roman"/>
                <w:color w:val="000000"/>
                <w:kern w:val="0"/>
                <w:sz w:val="28"/>
                <w:szCs w:val="28"/>
              </w:rPr>
              <w:t>22.22%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C、一般</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1</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47625" cy="114300"/>
                  <wp:effectExtent l="0" t="0" r="9525" b="0"/>
                  <wp:docPr id="326" name="图片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6" name="图片 316"/>
                          <pic:cNvPicPr>
                            <a:picLocks noChangeAspect="1"/>
                          </pic:cNvPicPr>
                        </pic:nvPicPr>
                        <pic:blipFill>
                          <a:blip r:embed="rId30"/>
                          <a:stretch>
                            <a:fillRect/>
                          </a:stretch>
                        </pic:blipFill>
                        <pic:spPr>
                          <a:xfrm>
                            <a:off x="0" y="0"/>
                            <a:ext cx="4762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304925" cy="114300"/>
                  <wp:effectExtent l="0" t="0" r="9525" b="0"/>
                  <wp:docPr id="327" name="图片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7" name="图片 317"/>
                          <pic:cNvPicPr>
                            <a:picLocks noChangeAspect="1"/>
                          </pic:cNvPicPr>
                        </pic:nvPicPr>
                        <pic:blipFill>
                          <a:blip r:embed="rId31"/>
                          <a:stretch>
                            <a:fillRect/>
                          </a:stretch>
                        </pic:blipFill>
                        <pic:spPr>
                          <a:xfrm>
                            <a:off x="0" y="0"/>
                            <a:ext cx="1304925" cy="114300"/>
                          </a:xfrm>
                          <a:prstGeom prst="rect">
                            <a:avLst/>
                          </a:prstGeom>
                          <a:noFill/>
                          <a:ln>
                            <a:noFill/>
                          </a:ln>
                        </pic:spPr>
                      </pic:pic>
                    </a:graphicData>
                  </a:graphic>
                </wp:inline>
              </w:drawing>
            </w:r>
            <w:r>
              <w:rPr>
                <w:rFonts w:hint="eastAsia" w:hAnsi="Times New Roman"/>
                <w:color w:val="000000"/>
                <w:kern w:val="0"/>
                <w:sz w:val="28"/>
                <w:szCs w:val="28"/>
              </w:rPr>
              <w:t>3.7%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D、没有效果</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28" name="图片 3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 name="图片 318"/>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本题有效填写人次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27</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p>
        </w:tc>
      </w:tr>
    </w:tbl>
    <w:p>
      <w:pPr>
        <w:widowControl/>
        <w:spacing w:line="240" w:lineRule="auto"/>
        <w:ind w:firstLine="0" w:firstLineChars="0"/>
        <w:jc w:val="left"/>
        <w:rPr>
          <w:rFonts w:hAnsi="Times New Roman"/>
          <w:color w:val="000000"/>
          <w:kern w:val="0"/>
          <w:sz w:val="28"/>
          <w:szCs w:val="28"/>
        </w:rPr>
      </w:pPr>
    </w:p>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第5题   您认为2020年专项业务费项目的实施对优化我省编制资源配置的成效如何？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246"/>
        <w:gridCol w:w="1026"/>
        <w:gridCol w:w="42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选项</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小计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A、非常有效</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21</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047750" cy="114300"/>
                  <wp:effectExtent l="0" t="0" r="0" b="0"/>
                  <wp:docPr id="329" name="图片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 name="图片 319"/>
                          <pic:cNvPicPr>
                            <a:picLocks noChangeAspect="1"/>
                          </pic:cNvPicPr>
                        </pic:nvPicPr>
                        <pic:blipFill>
                          <a:blip r:embed="rId36"/>
                          <a:stretch>
                            <a:fillRect/>
                          </a:stretch>
                        </pic:blipFill>
                        <pic:spPr>
                          <a:xfrm>
                            <a:off x="0" y="0"/>
                            <a:ext cx="1047750"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304800" cy="114300"/>
                  <wp:effectExtent l="0" t="0" r="0" b="0"/>
                  <wp:docPr id="330" name="图片 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0" name="图片 320"/>
                          <pic:cNvPicPr>
                            <a:picLocks noChangeAspect="1"/>
                          </pic:cNvPicPr>
                        </pic:nvPicPr>
                        <pic:blipFill>
                          <a:blip r:embed="rId37"/>
                          <a:stretch>
                            <a:fillRect/>
                          </a:stretch>
                        </pic:blipFill>
                        <pic:spPr>
                          <a:xfrm>
                            <a:off x="0" y="0"/>
                            <a:ext cx="304800" cy="114300"/>
                          </a:xfrm>
                          <a:prstGeom prst="rect">
                            <a:avLst/>
                          </a:prstGeom>
                          <a:noFill/>
                          <a:ln>
                            <a:noFill/>
                          </a:ln>
                        </pic:spPr>
                      </pic:pic>
                    </a:graphicData>
                  </a:graphic>
                </wp:inline>
              </w:drawing>
            </w:r>
            <w:r>
              <w:rPr>
                <w:rFonts w:hint="eastAsia" w:hAnsi="Times New Roman"/>
                <w:color w:val="000000"/>
                <w:kern w:val="0"/>
                <w:sz w:val="28"/>
                <w:szCs w:val="28"/>
              </w:rPr>
              <w:t>77.78%</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B、有效</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6</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295275" cy="114300"/>
                  <wp:effectExtent l="0" t="0" r="9525" b="0"/>
                  <wp:docPr id="331" name="图片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 name="图片 321"/>
                          <pic:cNvPicPr>
                            <a:picLocks noChangeAspect="1"/>
                          </pic:cNvPicPr>
                        </pic:nvPicPr>
                        <pic:blipFill>
                          <a:blip r:embed="rId34"/>
                          <a:stretch>
                            <a:fillRect/>
                          </a:stretch>
                        </pic:blipFill>
                        <pic:spPr>
                          <a:xfrm>
                            <a:off x="0" y="0"/>
                            <a:ext cx="29527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057275" cy="114300"/>
                  <wp:effectExtent l="0" t="0" r="9525" b="0"/>
                  <wp:docPr id="332" name="图片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 name="图片 322"/>
                          <pic:cNvPicPr>
                            <a:picLocks noChangeAspect="1"/>
                          </pic:cNvPicPr>
                        </pic:nvPicPr>
                        <pic:blipFill>
                          <a:blip r:embed="rId35"/>
                          <a:stretch>
                            <a:fillRect/>
                          </a:stretch>
                        </pic:blipFill>
                        <pic:spPr>
                          <a:xfrm>
                            <a:off x="0" y="0"/>
                            <a:ext cx="1057275" cy="114300"/>
                          </a:xfrm>
                          <a:prstGeom prst="rect">
                            <a:avLst/>
                          </a:prstGeom>
                          <a:noFill/>
                          <a:ln>
                            <a:noFill/>
                          </a:ln>
                        </pic:spPr>
                      </pic:pic>
                    </a:graphicData>
                  </a:graphic>
                </wp:inline>
              </w:drawing>
            </w:r>
            <w:r>
              <w:rPr>
                <w:rFonts w:hint="eastAsia" w:hAnsi="Times New Roman"/>
                <w:color w:val="000000"/>
                <w:kern w:val="0"/>
                <w:sz w:val="28"/>
                <w:szCs w:val="28"/>
              </w:rPr>
              <w:t>22.22%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C、一般</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33" name="图片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3" name="图片 323"/>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D、没有效果</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34" name="图片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 name="图片 324"/>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本题有效填写人次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27</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p>
        </w:tc>
      </w:tr>
    </w:tbl>
    <w:p>
      <w:pPr>
        <w:widowControl/>
        <w:spacing w:line="240" w:lineRule="auto"/>
        <w:ind w:firstLine="0" w:firstLineChars="0"/>
        <w:jc w:val="left"/>
        <w:rPr>
          <w:rFonts w:hAnsi="Times New Roman"/>
          <w:color w:val="000000"/>
          <w:kern w:val="0"/>
          <w:sz w:val="28"/>
          <w:szCs w:val="28"/>
        </w:rPr>
      </w:pPr>
    </w:p>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第6题   您认为2020年专项业务费项目的实施对推进我省重点领域改革的成效如何？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246"/>
        <w:gridCol w:w="1026"/>
        <w:gridCol w:w="42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选项</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小计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A、非常有效</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20</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000125" cy="114300"/>
                  <wp:effectExtent l="0" t="0" r="9525" b="0"/>
                  <wp:docPr id="335" name="图片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 name="图片 325"/>
                          <pic:cNvPicPr>
                            <a:picLocks noChangeAspect="1"/>
                          </pic:cNvPicPr>
                        </pic:nvPicPr>
                        <pic:blipFill>
                          <a:blip r:embed="rId32"/>
                          <a:stretch>
                            <a:fillRect/>
                          </a:stretch>
                        </pic:blipFill>
                        <pic:spPr>
                          <a:xfrm>
                            <a:off x="0" y="0"/>
                            <a:ext cx="100012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352425" cy="114300"/>
                  <wp:effectExtent l="0" t="0" r="9525" b="0"/>
                  <wp:docPr id="336" name="图片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 name="图片 326"/>
                          <pic:cNvPicPr>
                            <a:picLocks noChangeAspect="1"/>
                          </pic:cNvPicPr>
                        </pic:nvPicPr>
                        <pic:blipFill>
                          <a:blip r:embed="rId33"/>
                          <a:stretch>
                            <a:fillRect/>
                          </a:stretch>
                        </pic:blipFill>
                        <pic:spPr>
                          <a:xfrm>
                            <a:off x="0" y="0"/>
                            <a:ext cx="352425" cy="114300"/>
                          </a:xfrm>
                          <a:prstGeom prst="rect">
                            <a:avLst/>
                          </a:prstGeom>
                          <a:noFill/>
                          <a:ln>
                            <a:noFill/>
                          </a:ln>
                        </pic:spPr>
                      </pic:pic>
                    </a:graphicData>
                  </a:graphic>
                </wp:inline>
              </w:drawing>
            </w:r>
            <w:r>
              <w:rPr>
                <w:rFonts w:hint="eastAsia" w:hAnsi="Times New Roman"/>
                <w:color w:val="000000"/>
                <w:kern w:val="0"/>
                <w:sz w:val="28"/>
                <w:szCs w:val="28"/>
              </w:rPr>
              <w:t>74.07%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B、有效</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6</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295275" cy="114300"/>
                  <wp:effectExtent l="0" t="0" r="9525" b="0"/>
                  <wp:docPr id="337" name="图片 3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 name="图片 327"/>
                          <pic:cNvPicPr>
                            <a:picLocks noChangeAspect="1"/>
                          </pic:cNvPicPr>
                        </pic:nvPicPr>
                        <pic:blipFill>
                          <a:blip r:embed="rId34"/>
                          <a:stretch>
                            <a:fillRect/>
                          </a:stretch>
                        </pic:blipFill>
                        <pic:spPr>
                          <a:xfrm>
                            <a:off x="0" y="0"/>
                            <a:ext cx="29527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057275" cy="114300"/>
                  <wp:effectExtent l="0" t="0" r="9525" b="0"/>
                  <wp:docPr id="338" name="图片 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 name="图片 328"/>
                          <pic:cNvPicPr>
                            <a:picLocks noChangeAspect="1"/>
                          </pic:cNvPicPr>
                        </pic:nvPicPr>
                        <pic:blipFill>
                          <a:blip r:embed="rId35"/>
                          <a:stretch>
                            <a:fillRect/>
                          </a:stretch>
                        </pic:blipFill>
                        <pic:spPr>
                          <a:xfrm>
                            <a:off x="0" y="0"/>
                            <a:ext cx="1057275" cy="114300"/>
                          </a:xfrm>
                          <a:prstGeom prst="rect">
                            <a:avLst/>
                          </a:prstGeom>
                          <a:noFill/>
                          <a:ln>
                            <a:noFill/>
                          </a:ln>
                        </pic:spPr>
                      </pic:pic>
                    </a:graphicData>
                  </a:graphic>
                </wp:inline>
              </w:drawing>
            </w:r>
            <w:r>
              <w:rPr>
                <w:rFonts w:hint="eastAsia" w:hAnsi="Times New Roman"/>
                <w:color w:val="000000"/>
                <w:kern w:val="0"/>
                <w:sz w:val="28"/>
                <w:szCs w:val="28"/>
              </w:rPr>
              <w:t>22.22%</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C、一般</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1</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47625" cy="114300"/>
                  <wp:effectExtent l="0" t="0" r="9525" b="0"/>
                  <wp:docPr id="339" name="图片 3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9" name="图片 329"/>
                          <pic:cNvPicPr>
                            <a:picLocks noChangeAspect="1"/>
                          </pic:cNvPicPr>
                        </pic:nvPicPr>
                        <pic:blipFill>
                          <a:blip r:embed="rId30"/>
                          <a:stretch>
                            <a:fillRect/>
                          </a:stretch>
                        </pic:blipFill>
                        <pic:spPr>
                          <a:xfrm>
                            <a:off x="0" y="0"/>
                            <a:ext cx="4762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304925" cy="114300"/>
                  <wp:effectExtent l="0" t="0" r="9525" b="0"/>
                  <wp:docPr id="340" name="图片 3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 name="图片 330"/>
                          <pic:cNvPicPr>
                            <a:picLocks noChangeAspect="1"/>
                          </pic:cNvPicPr>
                        </pic:nvPicPr>
                        <pic:blipFill>
                          <a:blip r:embed="rId31"/>
                          <a:stretch>
                            <a:fillRect/>
                          </a:stretch>
                        </pic:blipFill>
                        <pic:spPr>
                          <a:xfrm>
                            <a:off x="0" y="0"/>
                            <a:ext cx="1304925" cy="114300"/>
                          </a:xfrm>
                          <a:prstGeom prst="rect">
                            <a:avLst/>
                          </a:prstGeom>
                          <a:noFill/>
                          <a:ln>
                            <a:noFill/>
                          </a:ln>
                        </pic:spPr>
                      </pic:pic>
                    </a:graphicData>
                  </a:graphic>
                </wp:inline>
              </w:drawing>
            </w:r>
            <w:r>
              <w:rPr>
                <w:rFonts w:hint="eastAsia" w:hAnsi="Times New Roman"/>
                <w:color w:val="000000"/>
                <w:kern w:val="0"/>
                <w:sz w:val="28"/>
                <w:szCs w:val="28"/>
              </w:rPr>
              <w:t>3.7%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D、没有效果</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41" name="图片 3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 name="图片 331"/>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本题有效填写人次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27</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p>
        </w:tc>
      </w:tr>
    </w:tbl>
    <w:p>
      <w:pPr>
        <w:widowControl/>
        <w:spacing w:line="240" w:lineRule="auto"/>
        <w:ind w:firstLine="0" w:firstLineChars="0"/>
        <w:jc w:val="left"/>
        <w:rPr>
          <w:rFonts w:hAnsi="Times New Roman"/>
          <w:color w:val="000000"/>
          <w:kern w:val="0"/>
          <w:sz w:val="28"/>
          <w:szCs w:val="28"/>
        </w:rPr>
      </w:pPr>
    </w:p>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第7题   您认为2020年专项业务费项目的实施对建立健全部门协作和信息共享的成效如何？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246"/>
        <w:gridCol w:w="1026"/>
        <w:gridCol w:w="42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选项</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小计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A、非常有效</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20</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000125" cy="114300"/>
                  <wp:effectExtent l="0" t="0" r="9525" b="0"/>
                  <wp:docPr id="342" name="图片 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2" name="图片 332"/>
                          <pic:cNvPicPr>
                            <a:picLocks noChangeAspect="1"/>
                          </pic:cNvPicPr>
                        </pic:nvPicPr>
                        <pic:blipFill>
                          <a:blip r:embed="rId32"/>
                          <a:stretch>
                            <a:fillRect/>
                          </a:stretch>
                        </pic:blipFill>
                        <pic:spPr>
                          <a:xfrm>
                            <a:off x="0" y="0"/>
                            <a:ext cx="100012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352425" cy="114300"/>
                  <wp:effectExtent l="0" t="0" r="9525" b="0"/>
                  <wp:docPr id="343" name="图片 3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3" name="图片 333"/>
                          <pic:cNvPicPr>
                            <a:picLocks noChangeAspect="1"/>
                          </pic:cNvPicPr>
                        </pic:nvPicPr>
                        <pic:blipFill>
                          <a:blip r:embed="rId33"/>
                          <a:stretch>
                            <a:fillRect/>
                          </a:stretch>
                        </pic:blipFill>
                        <pic:spPr>
                          <a:xfrm>
                            <a:off x="0" y="0"/>
                            <a:ext cx="352425" cy="114300"/>
                          </a:xfrm>
                          <a:prstGeom prst="rect">
                            <a:avLst/>
                          </a:prstGeom>
                          <a:noFill/>
                          <a:ln>
                            <a:noFill/>
                          </a:ln>
                        </pic:spPr>
                      </pic:pic>
                    </a:graphicData>
                  </a:graphic>
                </wp:inline>
              </w:drawing>
            </w:r>
            <w:r>
              <w:rPr>
                <w:rFonts w:hint="eastAsia" w:hAnsi="Times New Roman"/>
                <w:color w:val="000000"/>
                <w:kern w:val="0"/>
                <w:sz w:val="28"/>
                <w:szCs w:val="28"/>
              </w:rPr>
              <w:t>74.07%</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B、有效</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7</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342900" cy="114300"/>
                  <wp:effectExtent l="0" t="0" r="0" b="0"/>
                  <wp:docPr id="344" name="图片 3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4" name="图片 334"/>
                          <pic:cNvPicPr>
                            <a:picLocks noChangeAspect="1"/>
                          </pic:cNvPicPr>
                        </pic:nvPicPr>
                        <pic:blipFill>
                          <a:blip r:embed="rId38"/>
                          <a:stretch>
                            <a:fillRect/>
                          </a:stretch>
                        </pic:blipFill>
                        <pic:spPr>
                          <a:xfrm>
                            <a:off x="0" y="0"/>
                            <a:ext cx="342900"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009650" cy="114300"/>
                  <wp:effectExtent l="0" t="0" r="0" b="0"/>
                  <wp:docPr id="345" name="图片 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 name="图片 335"/>
                          <pic:cNvPicPr>
                            <a:picLocks noChangeAspect="1"/>
                          </pic:cNvPicPr>
                        </pic:nvPicPr>
                        <pic:blipFill>
                          <a:blip r:embed="rId39"/>
                          <a:stretch>
                            <a:fillRect/>
                          </a:stretch>
                        </pic:blipFill>
                        <pic:spPr>
                          <a:xfrm>
                            <a:off x="0" y="0"/>
                            <a:ext cx="1009650" cy="114300"/>
                          </a:xfrm>
                          <a:prstGeom prst="rect">
                            <a:avLst/>
                          </a:prstGeom>
                          <a:noFill/>
                          <a:ln>
                            <a:noFill/>
                          </a:ln>
                        </pic:spPr>
                      </pic:pic>
                    </a:graphicData>
                  </a:graphic>
                </wp:inline>
              </w:drawing>
            </w:r>
            <w:r>
              <w:rPr>
                <w:rFonts w:hint="eastAsia" w:hAnsi="Times New Roman"/>
                <w:color w:val="000000"/>
                <w:kern w:val="0"/>
                <w:sz w:val="28"/>
                <w:szCs w:val="28"/>
              </w:rPr>
              <w:t>25.93%</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C、一般</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46" name="图片 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 name="图片 336"/>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D、没有效果</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47" name="图片 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 name="图片 337"/>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本题有效填写人次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27</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p>
        </w:tc>
      </w:tr>
    </w:tbl>
    <w:p>
      <w:pPr>
        <w:widowControl/>
        <w:spacing w:line="240" w:lineRule="auto"/>
        <w:ind w:firstLine="0" w:firstLineChars="0"/>
        <w:jc w:val="left"/>
        <w:rPr>
          <w:rFonts w:hAnsi="Times New Roman"/>
          <w:color w:val="000000"/>
          <w:kern w:val="0"/>
          <w:sz w:val="28"/>
          <w:szCs w:val="28"/>
        </w:rPr>
      </w:pPr>
    </w:p>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第8题   您对中</w:t>
      </w:r>
      <w:r>
        <w:rPr>
          <w:rFonts w:hAnsi="Times New Roman"/>
          <w:color w:val="000000"/>
          <w:kern w:val="0"/>
          <w:sz w:val="28"/>
          <w:szCs w:val="28"/>
        </w:rPr>
        <w:t>共</w:t>
      </w:r>
      <w:r>
        <w:rPr>
          <w:rFonts w:hint="eastAsia" w:hAnsi="Times New Roman"/>
          <w:color w:val="000000"/>
          <w:kern w:val="0"/>
          <w:sz w:val="28"/>
          <w:szCs w:val="28"/>
        </w:rPr>
        <w:t>甘肃省委机构编制委员会办公室2020年专项业务费项目整体实施效果是否满意？      [单选题]</w:t>
      </w:r>
    </w:p>
    <w:tbl>
      <w:tblPr>
        <w:tblStyle w:val="16"/>
        <w:tblW w:w="5000" w:type="pct"/>
        <w:tblInd w:w="0" w:type="dxa"/>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Layout w:type="autofit"/>
        <w:tblCellMar>
          <w:top w:w="0" w:type="dxa"/>
          <w:left w:w="108" w:type="dxa"/>
          <w:bottom w:w="0" w:type="dxa"/>
          <w:right w:w="108" w:type="dxa"/>
        </w:tblCellMar>
      </w:tblPr>
      <w:tblGrid>
        <w:gridCol w:w="3246"/>
        <w:gridCol w:w="1026"/>
        <w:gridCol w:w="4250"/>
      </w:tblGrid>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选项</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小计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比例</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A、非常满意</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23</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143000" cy="114300"/>
                  <wp:effectExtent l="0" t="0" r="0" b="0"/>
                  <wp:docPr id="348" name="图片 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8" name="图片 338"/>
                          <pic:cNvPicPr>
                            <a:picLocks noChangeAspect="1"/>
                          </pic:cNvPicPr>
                        </pic:nvPicPr>
                        <pic:blipFill>
                          <a:blip r:embed="rId40"/>
                          <a:stretch>
                            <a:fillRect/>
                          </a:stretch>
                        </pic:blipFill>
                        <pic:spPr>
                          <a:xfrm>
                            <a:off x="0" y="0"/>
                            <a:ext cx="1143000"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209550" cy="114300"/>
                  <wp:effectExtent l="0" t="0" r="0" b="0"/>
                  <wp:docPr id="349" name="图片 3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9" name="图片 339"/>
                          <pic:cNvPicPr>
                            <a:picLocks noChangeAspect="1"/>
                          </pic:cNvPicPr>
                        </pic:nvPicPr>
                        <pic:blipFill>
                          <a:blip r:embed="rId41"/>
                          <a:stretch>
                            <a:fillRect/>
                          </a:stretch>
                        </pic:blipFill>
                        <pic:spPr>
                          <a:xfrm>
                            <a:off x="0" y="0"/>
                            <a:ext cx="209550" cy="114300"/>
                          </a:xfrm>
                          <a:prstGeom prst="rect">
                            <a:avLst/>
                          </a:prstGeom>
                          <a:noFill/>
                          <a:ln>
                            <a:noFill/>
                          </a:ln>
                        </pic:spPr>
                      </pic:pic>
                    </a:graphicData>
                  </a:graphic>
                </wp:inline>
              </w:drawing>
            </w:r>
            <w:r>
              <w:rPr>
                <w:rFonts w:hint="eastAsia" w:hAnsi="Times New Roman"/>
                <w:color w:val="000000"/>
                <w:kern w:val="0"/>
                <w:sz w:val="28"/>
                <w:szCs w:val="28"/>
              </w:rPr>
              <w:t>85.19%</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B、满意</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4</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200025" cy="114300"/>
                  <wp:effectExtent l="0" t="0" r="9525" b="0"/>
                  <wp:docPr id="350" name="图片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 name="图片 340"/>
                          <pic:cNvPicPr>
                            <a:picLocks noChangeAspect="1"/>
                          </pic:cNvPicPr>
                        </pic:nvPicPr>
                        <pic:blipFill>
                          <a:blip r:embed="rId42"/>
                          <a:stretch>
                            <a:fillRect/>
                          </a:stretch>
                        </pic:blipFill>
                        <pic:spPr>
                          <a:xfrm>
                            <a:off x="0" y="0"/>
                            <a:ext cx="200025" cy="114300"/>
                          </a:xfrm>
                          <a:prstGeom prst="rect">
                            <a:avLst/>
                          </a:prstGeom>
                          <a:noFill/>
                          <a:ln>
                            <a:noFill/>
                          </a:ln>
                        </pic:spPr>
                      </pic:pic>
                    </a:graphicData>
                  </a:graphic>
                </wp:inline>
              </w:drawing>
            </w:r>
            <w:r>
              <w:rPr>
                <w:rFonts w:hint="eastAsia" w:hAnsi="Times New Roman"/>
                <w:color w:val="000000"/>
                <w:kern w:val="0"/>
                <w:sz w:val="28"/>
                <w:szCs w:val="28"/>
              </w:rPr>
              <w:drawing>
                <wp:inline distT="0" distB="0" distL="114300" distR="114300">
                  <wp:extent cx="1152525" cy="114300"/>
                  <wp:effectExtent l="0" t="0" r="9525" b="0"/>
                  <wp:docPr id="351" name="图片 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 name="图片 341"/>
                          <pic:cNvPicPr>
                            <a:picLocks noChangeAspect="1"/>
                          </pic:cNvPicPr>
                        </pic:nvPicPr>
                        <pic:blipFill>
                          <a:blip r:embed="rId43"/>
                          <a:stretch>
                            <a:fillRect/>
                          </a:stretch>
                        </pic:blipFill>
                        <pic:spPr>
                          <a:xfrm>
                            <a:off x="0" y="0"/>
                            <a:ext cx="1152525" cy="114300"/>
                          </a:xfrm>
                          <a:prstGeom prst="rect">
                            <a:avLst/>
                          </a:prstGeom>
                          <a:noFill/>
                          <a:ln>
                            <a:noFill/>
                          </a:ln>
                        </pic:spPr>
                      </pic:pic>
                    </a:graphicData>
                  </a:graphic>
                </wp:inline>
              </w:drawing>
            </w:r>
            <w:r>
              <w:rPr>
                <w:rFonts w:hint="eastAsia" w:hAnsi="Times New Roman"/>
                <w:color w:val="000000"/>
                <w:kern w:val="0"/>
                <w:sz w:val="28"/>
                <w:szCs w:val="28"/>
              </w:rPr>
              <w:t>14.81%</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C、不满意</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FFFFF"/>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52" name="图片 3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图片 342"/>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D、非常不满意</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0</w:t>
            </w:r>
          </w:p>
        </w:tc>
        <w:tc>
          <w:tcPr>
            <w:tcW w:w="0" w:type="auto"/>
            <w:shd w:val="clear" w:color="auto" w:fill="F9F9F9"/>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drawing>
                <wp:inline distT="0" distB="0" distL="114300" distR="114300">
                  <wp:extent cx="1352550" cy="114300"/>
                  <wp:effectExtent l="0" t="0" r="0" b="0"/>
                  <wp:docPr id="353" name="图片 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图片 343"/>
                          <pic:cNvPicPr>
                            <a:picLocks noChangeAspect="1"/>
                          </pic:cNvPicPr>
                        </pic:nvPicPr>
                        <pic:blipFill>
                          <a:blip r:embed="rId23"/>
                          <a:stretch>
                            <a:fillRect/>
                          </a:stretch>
                        </pic:blipFill>
                        <pic:spPr>
                          <a:xfrm>
                            <a:off x="0" y="0"/>
                            <a:ext cx="1352550" cy="114300"/>
                          </a:xfrm>
                          <a:prstGeom prst="rect">
                            <a:avLst/>
                          </a:prstGeom>
                          <a:noFill/>
                          <a:ln>
                            <a:noFill/>
                          </a:ln>
                        </pic:spPr>
                      </pic:pic>
                    </a:graphicData>
                  </a:graphic>
                </wp:inline>
              </w:drawing>
            </w:r>
            <w:r>
              <w:rPr>
                <w:rFonts w:hint="eastAsia" w:hAnsi="Times New Roman"/>
                <w:color w:val="000000"/>
                <w:kern w:val="0"/>
                <w:sz w:val="28"/>
                <w:szCs w:val="28"/>
              </w:rPr>
              <w:t>0%</w:t>
            </w:r>
          </w:p>
        </w:tc>
      </w:tr>
      <w:tr>
        <w:tblPrEx>
          <w:tblBorders>
            <w:top w:val="single" w:color="D7D7D7" w:sz="4" w:space="0"/>
            <w:left w:val="single" w:color="D7D7D7" w:sz="4" w:space="0"/>
            <w:bottom w:val="single" w:color="D7D7D7" w:sz="4" w:space="0"/>
            <w:right w:val="single" w:color="D7D7D7" w:sz="4" w:space="0"/>
            <w:insideH w:val="single" w:color="D7D7D7" w:sz="4" w:space="0"/>
            <w:insideV w:val="single" w:color="D7D7D7" w:sz="4" w:space="0"/>
          </w:tblBorders>
          <w:tblCellMar>
            <w:top w:w="0" w:type="dxa"/>
            <w:left w:w="108" w:type="dxa"/>
            <w:bottom w:w="0" w:type="dxa"/>
            <w:right w:w="108" w:type="dxa"/>
          </w:tblCellMar>
        </w:tblPrEx>
        <w:trPr>
          <w:trHeight w:val="500" w:hRule="atLeast"/>
        </w:trPr>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本题有效填写人次</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r>
              <w:rPr>
                <w:rFonts w:hint="eastAsia" w:hAnsi="Times New Roman"/>
                <w:color w:val="000000"/>
                <w:kern w:val="0"/>
                <w:sz w:val="28"/>
                <w:szCs w:val="28"/>
              </w:rPr>
              <w:t>27</w:t>
            </w:r>
          </w:p>
        </w:tc>
        <w:tc>
          <w:tcPr>
            <w:tcW w:w="0" w:type="auto"/>
            <w:shd w:val="clear" w:color="auto" w:fill="E0E0E0"/>
            <w:vAlign w:val="center"/>
          </w:tcPr>
          <w:p>
            <w:pPr>
              <w:widowControl/>
              <w:spacing w:line="240" w:lineRule="auto"/>
              <w:ind w:firstLine="0" w:firstLineChars="0"/>
              <w:jc w:val="left"/>
              <w:rPr>
                <w:rFonts w:hAnsi="Times New Roman"/>
                <w:color w:val="000000"/>
                <w:kern w:val="0"/>
                <w:sz w:val="28"/>
                <w:szCs w:val="28"/>
              </w:rPr>
            </w:pPr>
          </w:p>
        </w:tc>
      </w:tr>
    </w:tbl>
    <w:p>
      <w:pPr>
        <w:widowControl/>
        <w:spacing w:line="240" w:lineRule="auto"/>
        <w:ind w:firstLine="0" w:firstLineChars="0"/>
        <w:jc w:val="left"/>
        <w:rPr>
          <w:rFonts w:hAnsi="Times New Roman"/>
          <w:color w:val="000000"/>
          <w:kern w:val="0"/>
          <w:sz w:val="28"/>
          <w:szCs w:val="28"/>
        </w:rPr>
      </w:pPr>
    </w:p>
    <w:p>
      <w:pPr>
        <w:widowControl/>
        <w:spacing w:line="240" w:lineRule="auto"/>
        <w:ind w:firstLine="0" w:firstLineChars="0"/>
        <w:jc w:val="left"/>
        <w:rPr>
          <w:sz w:val="28"/>
          <w:szCs w:val="28"/>
        </w:rPr>
      </w:pPr>
      <w:r>
        <w:rPr>
          <w:rFonts w:hint="eastAsia" w:hAnsi="Times New Roman"/>
          <w:color w:val="000000"/>
          <w:kern w:val="0"/>
          <w:sz w:val="28"/>
          <w:szCs w:val="28"/>
        </w:rPr>
        <w:t>第9题   您对</w:t>
      </w:r>
      <w:r>
        <w:rPr>
          <w:rFonts w:hint="eastAsia" w:hAnsi="宋体" w:cs="宋体"/>
          <w:color w:val="000000"/>
          <w:kern w:val="0"/>
          <w:sz w:val="28"/>
          <w:szCs w:val="28"/>
        </w:rPr>
        <w:t>中共</w:t>
      </w:r>
      <w:r>
        <w:rPr>
          <w:rFonts w:hint="eastAsia" w:hAnsi="Times New Roman"/>
          <w:color w:val="000000"/>
          <w:kern w:val="0"/>
          <w:sz w:val="28"/>
          <w:szCs w:val="28"/>
        </w:rPr>
        <w:t>甘肃省委机构编制委员会办公室以后年度实施专项业务费项目有哪些建议？      [填空题]</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Geneva">
    <w:altName w:val="Arial"/>
    <w:panose1 w:val="00000000000000000000"/>
    <w:charset w:val="00"/>
    <w:family w:val="swiss"/>
    <w:pitch w:val="default"/>
    <w:sig w:usb0="00000000" w:usb1="00000000" w:usb2="00000000" w:usb3="00000000" w:csb0="0000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jc w:val="center"/>
      <w:rPr>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420"/>
      <w:jc w:val="center"/>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30" name="文本框 1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BAEUEsAgAAWQ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0EARQSwCAABZBAAADgAAAAAAAAABACAAAAAfAQAAZHJzL2Uyb0RvYy54bWxQSwUGAAAAAAYA&#10;BgBZAQAAvQUAAAAA&#10;">
              <v:fill on="f" focussize="0,0"/>
              <v:stroke on="f" weight="0.5pt"/>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51</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1" name="文本框 1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4fPRwtAgAAWQQAAA4AAABkcnMvZTJvRG9jLnhtbK1UzY7TMBC+I/EO&#10;lu80bVes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4fPRwtAgAAWQQAAA4AAAAAAAAAAQAgAAAAHwEAAGRycy9lMm9Eb2MueG1sUEsFBgAAAAAG&#10;AAYAWQEAAL4FAAAAAA==&#10;">
              <v:fill on="f" focussize="0,0"/>
              <v:stroke on="f" weight="0.5pt"/>
              <v:imagedata o:title=""/>
              <o:lock v:ext="edit" aspectratio="f"/>
              <v:textbox inset="0mm,0mm,0mm,0mm" style="mso-fit-shape-to-text:t;">
                <w:txbxContent>
                  <w:p>
                    <w:pPr>
                      <w:pStyle w:val="9"/>
                      <w:ind w:firstLine="360"/>
                    </w:pPr>
                    <w:r>
                      <w:rPr>
                        <w:rFonts w:hint="eastAsia"/>
                      </w:rPr>
                      <w:fldChar w:fldCharType="begin"/>
                    </w:r>
                    <w:r>
                      <w:rPr>
                        <w:rFonts w:hint="eastAsia"/>
                      </w:rPr>
                      <w:instrText xml:space="preserve"> PAGE  \* MERGEFORMAT </w:instrText>
                    </w:r>
                    <w:r>
                      <w:rPr>
                        <w:rFonts w:hint="eastAsia"/>
                      </w:rPr>
                      <w:fldChar w:fldCharType="separate"/>
                    </w:r>
                    <w:r>
                      <w:t>65</w:t>
                    </w:r>
                    <w:r>
                      <w:rPr>
                        <w:rFonts w:hint="eastAsia"/>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ind w:firstLine="36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single" w:color="auto" w:sz="4" w:space="1"/>
      </w:pBdr>
      <w:ind w:firstLine="360"/>
      <w:jc w:val="right"/>
    </w:pPr>
    <w:r>
      <w:rPr>
        <w:rFonts w:hint="eastAsia"/>
      </w:rPr>
      <w:t>中共甘肃省委机构编制委员会办公室2020年专项业务费项目支出绩效评价报告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87AD85"/>
    <w:multiLevelType w:val="singleLevel"/>
    <w:tmpl w:val="B787AD85"/>
    <w:lvl w:ilvl="0" w:tentative="0">
      <w:start w:val="1"/>
      <w:numFmt w:val="chineseCounting"/>
      <w:suff w:val="nothing"/>
      <w:lvlText w:val="（%1）"/>
      <w:lvlJc w:val="left"/>
      <w:pPr>
        <w:ind w:left="-3"/>
      </w:pPr>
      <w:rPr>
        <w:rFonts w:hint="eastAsia"/>
      </w:rPr>
    </w:lvl>
  </w:abstractNum>
  <w:abstractNum w:abstractNumId="1">
    <w:nsid w:val="BB4A0C74"/>
    <w:multiLevelType w:val="singleLevel"/>
    <w:tmpl w:val="BB4A0C74"/>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C3F"/>
    <w:rsid w:val="00017170"/>
    <w:rsid w:val="00022520"/>
    <w:rsid w:val="0006144C"/>
    <w:rsid w:val="00074C57"/>
    <w:rsid w:val="00082B8E"/>
    <w:rsid w:val="00083E78"/>
    <w:rsid w:val="00093B78"/>
    <w:rsid w:val="000F3378"/>
    <w:rsid w:val="000F3929"/>
    <w:rsid w:val="00107D14"/>
    <w:rsid w:val="001154D7"/>
    <w:rsid w:val="0012699F"/>
    <w:rsid w:val="0012776A"/>
    <w:rsid w:val="00163144"/>
    <w:rsid w:val="00172A27"/>
    <w:rsid w:val="00173932"/>
    <w:rsid w:val="001934D2"/>
    <w:rsid w:val="001B4F6E"/>
    <w:rsid w:val="001C1487"/>
    <w:rsid w:val="001C2486"/>
    <w:rsid w:val="001D03C7"/>
    <w:rsid w:val="001D0DAE"/>
    <w:rsid w:val="001F1495"/>
    <w:rsid w:val="00205745"/>
    <w:rsid w:val="00224F01"/>
    <w:rsid w:val="002314E2"/>
    <w:rsid w:val="00233868"/>
    <w:rsid w:val="00237D53"/>
    <w:rsid w:val="00282067"/>
    <w:rsid w:val="0028638C"/>
    <w:rsid w:val="0029669C"/>
    <w:rsid w:val="002A5A84"/>
    <w:rsid w:val="002C4C00"/>
    <w:rsid w:val="002C60D8"/>
    <w:rsid w:val="002E2F11"/>
    <w:rsid w:val="00307D4A"/>
    <w:rsid w:val="00314936"/>
    <w:rsid w:val="00334010"/>
    <w:rsid w:val="003E1885"/>
    <w:rsid w:val="0043281F"/>
    <w:rsid w:val="00441624"/>
    <w:rsid w:val="00445206"/>
    <w:rsid w:val="00465671"/>
    <w:rsid w:val="00487C5E"/>
    <w:rsid w:val="00490DC7"/>
    <w:rsid w:val="004A5CBC"/>
    <w:rsid w:val="004B2B6A"/>
    <w:rsid w:val="004B6DC8"/>
    <w:rsid w:val="004B72E6"/>
    <w:rsid w:val="004D4EE9"/>
    <w:rsid w:val="0051695D"/>
    <w:rsid w:val="00516FD4"/>
    <w:rsid w:val="00522BD0"/>
    <w:rsid w:val="00553BD5"/>
    <w:rsid w:val="005549CE"/>
    <w:rsid w:val="00573AB2"/>
    <w:rsid w:val="00575CBB"/>
    <w:rsid w:val="00585B7E"/>
    <w:rsid w:val="005875F5"/>
    <w:rsid w:val="00593C76"/>
    <w:rsid w:val="005B72B0"/>
    <w:rsid w:val="005C235C"/>
    <w:rsid w:val="005D6244"/>
    <w:rsid w:val="005D7879"/>
    <w:rsid w:val="005E1C21"/>
    <w:rsid w:val="0064124B"/>
    <w:rsid w:val="006820BF"/>
    <w:rsid w:val="00683E07"/>
    <w:rsid w:val="006A7078"/>
    <w:rsid w:val="006E0388"/>
    <w:rsid w:val="006F19DC"/>
    <w:rsid w:val="00713C4D"/>
    <w:rsid w:val="007556A9"/>
    <w:rsid w:val="00755812"/>
    <w:rsid w:val="00757659"/>
    <w:rsid w:val="00776E62"/>
    <w:rsid w:val="0077771A"/>
    <w:rsid w:val="0078499F"/>
    <w:rsid w:val="00797656"/>
    <w:rsid w:val="00802AE5"/>
    <w:rsid w:val="0081425A"/>
    <w:rsid w:val="008320DC"/>
    <w:rsid w:val="0083735E"/>
    <w:rsid w:val="008411E1"/>
    <w:rsid w:val="008936AE"/>
    <w:rsid w:val="008A17C8"/>
    <w:rsid w:val="008B036B"/>
    <w:rsid w:val="008B2DFA"/>
    <w:rsid w:val="008B7ED7"/>
    <w:rsid w:val="008C029A"/>
    <w:rsid w:val="008C73F2"/>
    <w:rsid w:val="008D3B85"/>
    <w:rsid w:val="008D3DD0"/>
    <w:rsid w:val="008E66EA"/>
    <w:rsid w:val="00934EE2"/>
    <w:rsid w:val="0094713D"/>
    <w:rsid w:val="0095099E"/>
    <w:rsid w:val="009637BF"/>
    <w:rsid w:val="00981544"/>
    <w:rsid w:val="00995BE6"/>
    <w:rsid w:val="009A2624"/>
    <w:rsid w:val="009C17EE"/>
    <w:rsid w:val="009E000C"/>
    <w:rsid w:val="009E3488"/>
    <w:rsid w:val="009F6AA6"/>
    <w:rsid w:val="00A11F43"/>
    <w:rsid w:val="00A30F31"/>
    <w:rsid w:val="00A410CE"/>
    <w:rsid w:val="00A50972"/>
    <w:rsid w:val="00A5117C"/>
    <w:rsid w:val="00A526A4"/>
    <w:rsid w:val="00A6517F"/>
    <w:rsid w:val="00A67BEF"/>
    <w:rsid w:val="00A97FF8"/>
    <w:rsid w:val="00AB53A5"/>
    <w:rsid w:val="00AB6457"/>
    <w:rsid w:val="00AC4E70"/>
    <w:rsid w:val="00AE46A0"/>
    <w:rsid w:val="00AE6572"/>
    <w:rsid w:val="00AF32AA"/>
    <w:rsid w:val="00AF664A"/>
    <w:rsid w:val="00B04346"/>
    <w:rsid w:val="00B06DD2"/>
    <w:rsid w:val="00B14FA8"/>
    <w:rsid w:val="00B16D18"/>
    <w:rsid w:val="00B176AC"/>
    <w:rsid w:val="00B82F0D"/>
    <w:rsid w:val="00BA384B"/>
    <w:rsid w:val="00BB442C"/>
    <w:rsid w:val="00BC3D97"/>
    <w:rsid w:val="00BE3DD8"/>
    <w:rsid w:val="00C0158A"/>
    <w:rsid w:val="00C149CB"/>
    <w:rsid w:val="00C1717A"/>
    <w:rsid w:val="00C203F3"/>
    <w:rsid w:val="00C22424"/>
    <w:rsid w:val="00C44A98"/>
    <w:rsid w:val="00C72602"/>
    <w:rsid w:val="00C90124"/>
    <w:rsid w:val="00CC4EAC"/>
    <w:rsid w:val="00CC54A3"/>
    <w:rsid w:val="00CE4524"/>
    <w:rsid w:val="00D010AD"/>
    <w:rsid w:val="00D2318E"/>
    <w:rsid w:val="00D50708"/>
    <w:rsid w:val="00D57BCE"/>
    <w:rsid w:val="00D66E17"/>
    <w:rsid w:val="00D93083"/>
    <w:rsid w:val="00D95AC0"/>
    <w:rsid w:val="00DA6870"/>
    <w:rsid w:val="00DD7F3D"/>
    <w:rsid w:val="00DF4AC3"/>
    <w:rsid w:val="00E07900"/>
    <w:rsid w:val="00E57C1D"/>
    <w:rsid w:val="00E862AB"/>
    <w:rsid w:val="00E93890"/>
    <w:rsid w:val="00EB4911"/>
    <w:rsid w:val="00EC6A2C"/>
    <w:rsid w:val="00ED4700"/>
    <w:rsid w:val="00ED5AE0"/>
    <w:rsid w:val="00ED7CC8"/>
    <w:rsid w:val="00EE3E4B"/>
    <w:rsid w:val="00F000A2"/>
    <w:rsid w:val="00F12514"/>
    <w:rsid w:val="00F16771"/>
    <w:rsid w:val="00F21EB3"/>
    <w:rsid w:val="00F44BB9"/>
    <w:rsid w:val="00F544F5"/>
    <w:rsid w:val="00F64400"/>
    <w:rsid w:val="00F72FF8"/>
    <w:rsid w:val="00F77586"/>
    <w:rsid w:val="00FA5AB3"/>
    <w:rsid w:val="00FB3307"/>
    <w:rsid w:val="00FB55F1"/>
    <w:rsid w:val="00FB7AF7"/>
    <w:rsid w:val="00FD32D3"/>
    <w:rsid w:val="00FD4511"/>
    <w:rsid w:val="011828F4"/>
    <w:rsid w:val="011F5401"/>
    <w:rsid w:val="014D571F"/>
    <w:rsid w:val="01585ED0"/>
    <w:rsid w:val="01593C58"/>
    <w:rsid w:val="01754069"/>
    <w:rsid w:val="01B87CB5"/>
    <w:rsid w:val="01BB0633"/>
    <w:rsid w:val="02377E6E"/>
    <w:rsid w:val="025031FD"/>
    <w:rsid w:val="02583506"/>
    <w:rsid w:val="02725759"/>
    <w:rsid w:val="02A6765F"/>
    <w:rsid w:val="02CE55B9"/>
    <w:rsid w:val="02ED5160"/>
    <w:rsid w:val="02FE0C23"/>
    <w:rsid w:val="031333F8"/>
    <w:rsid w:val="034363E4"/>
    <w:rsid w:val="03B66F0A"/>
    <w:rsid w:val="03D509D0"/>
    <w:rsid w:val="03E437FF"/>
    <w:rsid w:val="040E198B"/>
    <w:rsid w:val="04575F80"/>
    <w:rsid w:val="045966EF"/>
    <w:rsid w:val="045F6A2B"/>
    <w:rsid w:val="04725845"/>
    <w:rsid w:val="0486587C"/>
    <w:rsid w:val="048C4C4C"/>
    <w:rsid w:val="04956798"/>
    <w:rsid w:val="04AB6155"/>
    <w:rsid w:val="04C175CD"/>
    <w:rsid w:val="04E00D5D"/>
    <w:rsid w:val="04EA0B44"/>
    <w:rsid w:val="04F22600"/>
    <w:rsid w:val="04FD505C"/>
    <w:rsid w:val="052E24CB"/>
    <w:rsid w:val="058123A5"/>
    <w:rsid w:val="05D03C75"/>
    <w:rsid w:val="062E7D7C"/>
    <w:rsid w:val="064A4AA5"/>
    <w:rsid w:val="065C4F17"/>
    <w:rsid w:val="06A43E63"/>
    <w:rsid w:val="06BB7186"/>
    <w:rsid w:val="06C35FFC"/>
    <w:rsid w:val="06CF07B2"/>
    <w:rsid w:val="07335E32"/>
    <w:rsid w:val="073D011F"/>
    <w:rsid w:val="073F39C3"/>
    <w:rsid w:val="075D0F6E"/>
    <w:rsid w:val="07957403"/>
    <w:rsid w:val="07A707D8"/>
    <w:rsid w:val="07AA620C"/>
    <w:rsid w:val="07C86592"/>
    <w:rsid w:val="08020360"/>
    <w:rsid w:val="080B7F99"/>
    <w:rsid w:val="080F0A3B"/>
    <w:rsid w:val="08147646"/>
    <w:rsid w:val="0817401D"/>
    <w:rsid w:val="081F1656"/>
    <w:rsid w:val="084357D1"/>
    <w:rsid w:val="088B469B"/>
    <w:rsid w:val="08D0049C"/>
    <w:rsid w:val="08D776C0"/>
    <w:rsid w:val="08EC24E1"/>
    <w:rsid w:val="08F06954"/>
    <w:rsid w:val="091553D1"/>
    <w:rsid w:val="09294BBD"/>
    <w:rsid w:val="093916B9"/>
    <w:rsid w:val="09430380"/>
    <w:rsid w:val="097428AA"/>
    <w:rsid w:val="097D4758"/>
    <w:rsid w:val="097D47AD"/>
    <w:rsid w:val="098F2613"/>
    <w:rsid w:val="09BA66C6"/>
    <w:rsid w:val="09E5588B"/>
    <w:rsid w:val="0A2E22BE"/>
    <w:rsid w:val="0A9F31B4"/>
    <w:rsid w:val="0AB1486A"/>
    <w:rsid w:val="0ADF12DF"/>
    <w:rsid w:val="0B003E56"/>
    <w:rsid w:val="0B314F02"/>
    <w:rsid w:val="0B807698"/>
    <w:rsid w:val="0B811E5F"/>
    <w:rsid w:val="0B8F450C"/>
    <w:rsid w:val="0BA25630"/>
    <w:rsid w:val="0BA67690"/>
    <w:rsid w:val="0BBB43D6"/>
    <w:rsid w:val="0BDF7B4C"/>
    <w:rsid w:val="0BE9660E"/>
    <w:rsid w:val="0C266366"/>
    <w:rsid w:val="0C8B4417"/>
    <w:rsid w:val="0CDD1742"/>
    <w:rsid w:val="0CF51314"/>
    <w:rsid w:val="0D1B0C0E"/>
    <w:rsid w:val="0D1B3D18"/>
    <w:rsid w:val="0D2E63E7"/>
    <w:rsid w:val="0DA574CB"/>
    <w:rsid w:val="0DD54BC0"/>
    <w:rsid w:val="0DFB219E"/>
    <w:rsid w:val="0E0007E7"/>
    <w:rsid w:val="0E1018AE"/>
    <w:rsid w:val="0E193BCE"/>
    <w:rsid w:val="0E2D48D0"/>
    <w:rsid w:val="0E2F540E"/>
    <w:rsid w:val="0E48274F"/>
    <w:rsid w:val="0E5805B1"/>
    <w:rsid w:val="0E8764E7"/>
    <w:rsid w:val="0ED43CBD"/>
    <w:rsid w:val="0EDC5591"/>
    <w:rsid w:val="0EDE4492"/>
    <w:rsid w:val="0EE2402B"/>
    <w:rsid w:val="0F07766C"/>
    <w:rsid w:val="0F0B26DF"/>
    <w:rsid w:val="0F8D2B78"/>
    <w:rsid w:val="0F955ABE"/>
    <w:rsid w:val="0FB24C3D"/>
    <w:rsid w:val="0FB32EF7"/>
    <w:rsid w:val="0FDB02D5"/>
    <w:rsid w:val="100A0B40"/>
    <w:rsid w:val="100D0D5B"/>
    <w:rsid w:val="101A398B"/>
    <w:rsid w:val="101E361E"/>
    <w:rsid w:val="10281F4B"/>
    <w:rsid w:val="104517F0"/>
    <w:rsid w:val="104F3A52"/>
    <w:rsid w:val="107019AD"/>
    <w:rsid w:val="107F6FF3"/>
    <w:rsid w:val="108E240F"/>
    <w:rsid w:val="10942AFA"/>
    <w:rsid w:val="10B739DE"/>
    <w:rsid w:val="10BB3D64"/>
    <w:rsid w:val="10DF3919"/>
    <w:rsid w:val="110E25A5"/>
    <w:rsid w:val="11335502"/>
    <w:rsid w:val="11385143"/>
    <w:rsid w:val="114A04B6"/>
    <w:rsid w:val="11A35AAF"/>
    <w:rsid w:val="11B94856"/>
    <w:rsid w:val="11C301EA"/>
    <w:rsid w:val="11D320E7"/>
    <w:rsid w:val="11E20ADB"/>
    <w:rsid w:val="11FB02EC"/>
    <w:rsid w:val="120874D5"/>
    <w:rsid w:val="120A301E"/>
    <w:rsid w:val="12675DD6"/>
    <w:rsid w:val="127D1D1E"/>
    <w:rsid w:val="12AF5326"/>
    <w:rsid w:val="12B60AA3"/>
    <w:rsid w:val="12F03050"/>
    <w:rsid w:val="13004FA5"/>
    <w:rsid w:val="135B7C20"/>
    <w:rsid w:val="13671510"/>
    <w:rsid w:val="136E2940"/>
    <w:rsid w:val="13765967"/>
    <w:rsid w:val="138511BD"/>
    <w:rsid w:val="13B1073D"/>
    <w:rsid w:val="13B424BE"/>
    <w:rsid w:val="13B6443B"/>
    <w:rsid w:val="13F662A6"/>
    <w:rsid w:val="13FF5AEF"/>
    <w:rsid w:val="14155506"/>
    <w:rsid w:val="141B1E87"/>
    <w:rsid w:val="14345B51"/>
    <w:rsid w:val="143D17DE"/>
    <w:rsid w:val="14687430"/>
    <w:rsid w:val="14716557"/>
    <w:rsid w:val="14722351"/>
    <w:rsid w:val="14816315"/>
    <w:rsid w:val="14913643"/>
    <w:rsid w:val="14B67150"/>
    <w:rsid w:val="14BF5777"/>
    <w:rsid w:val="14E204E0"/>
    <w:rsid w:val="14FD76E3"/>
    <w:rsid w:val="15157828"/>
    <w:rsid w:val="15184885"/>
    <w:rsid w:val="154A64F2"/>
    <w:rsid w:val="155D5258"/>
    <w:rsid w:val="15681D99"/>
    <w:rsid w:val="15D71A89"/>
    <w:rsid w:val="164B2213"/>
    <w:rsid w:val="166F2BCC"/>
    <w:rsid w:val="16AB610D"/>
    <w:rsid w:val="16D348EB"/>
    <w:rsid w:val="16ED74A0"/>
    <w:rsid w:val="16EF0BF4"/>
    <w:rsid w:val="16F93088"/>
    <w:rsid w:val="16FF1EFC"/>
    <w:rsid w:val="171E29E4"/>
    <w:rsid w:val="175F6B4F"/>
    <w:rsid w:val="17931A2D"/>
    <w:rsid w:val="18102996"/>
    <w:rsid w:val="1812488B"/>
    <w:rsid w:val="183C4499"/>
    <w:rsid w:val="1850560B"/>
    <w:rsid w:val="18662636"/>
    <w:rsid w:val="18834ADC"/>
    <w:rsid w:val="18905816"/>
    <w:rsid w:val="18941544"/>
    <w:rsid w:val="18C767C3"/>
    <w:rsid w:val="18D32EC0"/>
    <w:rsid w:val="18D66EDA"/>
    <w:rsid w:val="18D77CDC"/>
    <w:rsid w:val="19131731"/>
    <w:rsid w:val="193D3D99"/>
    <w:rsid w:val="19660B16"/>
    <w:rsid w:val="196F5ECD"/>
    <w:rsid w:val="19885F42"/>
    <w:rsid w:val="19BB6952"/>
    <w:rsid w:val="19BD06E8"/>
    <w:rsid w:val="19CB4ED1"/>
    <w:rsid w:val="19E13FFE"/>
    <w:rsid w:val="19E32369"/>
    <w:rsid w:val="19EF6829"/>
    <w:rsid w:val="1A0D483E"/>
    <w:rsid w:val="1A341540"/>
    <w:rsid w:val="1A996AE9"/>
    <w:rsid w:val="1AC91C0F"/>
    <w:rsid w:val="1AD437FE"/>
    <w:rsid w:val="1AE23E3F"/>
    <w:rsid w:val="1AF22488"/>
    <w:rsid w:val="1B0E37E0"/>
    <w:rsid w:val="1B786CF4"/>
    <w:rsid w:val="1B9163AC"/>
    <w:rsid w:val="1BF72CE3"/>
    <w:rsid w:val="1C276060"/>
    <w:rsid w:val="1C31644D"/>
    <w:rsid w:val="1C3860C1"/>
    <w:rsid w:val="1C502E0E"/>
    <w:rsid w:val="1C546081"/>
    <w:rsid w:val="1C897A6E"/>
    <w:rsid w:val="1CBD68FF"/>
    <w:rsid w:val="1CC466DE"/>
    <w:rsid w:val="1CE40428"/>
    <w:rsid w:val="1CEB5AB7"/>
    <w:rsid w:val="1D0F15E9"/>
    <w:rsid w:val="1D102B8F"/>
    <w:rsid w:val="1D133025"/>
    <w:rsid w:val="1D4D0764"/>
    <w:rsid w:val="1D4F57E9"/>
    <w:rsid w:val="1D5048D1"/>
    <w:rsid w:val="1D5537E7"/>
    <w:rsid w:val="1DA358AD"/>
    <w:rsid w:val="1DBD72F5"/>
    <w:rsid w:val="1DC17FD0"/>
    <w:rsid w:val="1DDD2485"/>
    <w:rsid w:val="1DE90735"/>
    <w:rsid w:val="1DFE4DC5"/>
    <w:rsid w:val="1E1157C0"/>
    <w:rsid w:val="1E3E7ABD"/>
    <w:rsid w:val="1E507E11"/>
    <w:rsid w:val="1E545413"/>
    <w:rsid w:val="1E80713D"/>
    <w:rsid w:val="1E8351E5"/>
    <w:rsid w:val="1E956957"/>
    <w:rsid w:val="1EB62CC4"/>
    <w:rsid w:val="1F0159D0"/>
    <w:rsid w:val="1F2E1E77"/>
    <w:rsid w:val="1F3C4867"/>
    <w:rsid w:val="1F871375"/>
    <w:rsid w:val="1F8E398B"/>
    <w:rsid w:val="20155185"/>
    <w:rsid w:val="203E6377"/>
    <w:rsid w:val="20556324"/>
    <w:rsid w:val="20673A0C"/>
    <w:rsid w:val="207E60E4"/>
    <w:rsid w:val="207F1FED"/>
    <w:rsid w:val="20A215C8"/>
    <w:rsid w:val="20A75E18"/>
    <w:rsid w:val="20AF06D6"/>
    <w:rsid w:val="20B01E77"/>
    <w:rsid w:val="21D11103"/>
    <w:rsid w:val="220419EB"/>
    <w:rsid w:val="223E6ED3"/>
    <w:rsid w:val="227447E6"/>
    <w:rsid w:val="227848BC"/>
    <w:rsid w:val="227A3A68"/>
    <w:rsid w:val="229B10F2"/>
    <w:rsid w:val="22AA093B"/>
    <w:rsid w:val="22B37D01"/>
    <w:rsid w:val="22C419C7"/>
    <w:rsid w:val="22C660B8"/>
    <w:rsid w:val="22D16703"/>
    <w:rsid w:val="22F5269F"/>
    <w:rsid w:val="23014403"/>
    <w:rsid w:val="2346404E"/>
    <w:rsid w:val="23740BC6"/>
    <w:rsid w:val="238C3BB5"/>
    <w:rsid w:val="23AC3B24"/>
    <w:rsid w:val="23D66820"/>
    <w:rsid w:val="23E152D9"/>
    <w:rsid w:val="23E47020"/>
    <w:rsid w:val="240F3CB0"/>
    <w:rsid w:val="2440234D"/>
    <w:rsid w:val="245A50FA"/>
    <w:rsid w:val="247C0470"/>
    <w:rsid w:val="24823B77"/>
    <w:rsid w:val="24883144"/>
    <w:rsid w:val="24A5408E"/>
    <w:rsid w:val="24AE02B9"/>
    <w:rsid w:val="24B82A3A"/>
    <w:rsid w:val="24E644F9"/>
    <w:rsid w:val="24ED13D3"/>
    <w:rsid w:val="250A23CC"/>
    <w:rsid w:val="250F113B"/>
    <w:rsid w:val="250F5B5C"/>
    <w:rsid w:val="25536915"/>
    <w:rsid w:val="256E51F2"/>
    <w:rsid w:val="257B4A34"/>
    <w:rsid w:val="257C5227"/>
    <w:rsid w:val="258D1234"/>
    <w:rsid w:val="259E60BB"/>
    <w:rsid w:val="25CD0AAB"/>
    <w:rsid w:val="25CD391F"/>
    <w:rsid w:val="25F32019"/>
    <w:rsid w:val="26150681"/>
    <w:rsid w:val="262652D2"/>
    <w:rsid w:val="26830B64"/>
    <w:rsid w:val="26945841"/>
    <w:rsid w:val="26CD0A7D"/>
    <w:rsid w:val="26E002DD"/>
    <w:rsid w:val="27080D13"/>
    <w:rsid w:val="272716E9"/>
    <w:rsid w:val="27AA1EF9"/>
    <w:rsid w:val="27ED5F3F"/>
    <w:rsid w:val="28485AB9"/>
    <w:rsid w:val="28552956"/>
    <w:rsid w:val="289A126E"/>
    <w:rsid w:val="28F706DE"/>
    <w:rsid w:val="28FC08B7"/>
    <w:rsid w:val="29325B6B"/>
    <w:rsid w:val="294511DC"/>
    <w:rsid w:val="2952660A"/>
    <w:rsid w:val="29724112"/>
    <w:rsid w:val="298F625A"/>
    <w:rsid w:val="29927078"/>
    <w:rsid w:val="299549DF"/>
    <w:rsid w:val="299B43F0"/>
    <w:rsid w:val="29B24EBB"/>
    <w:rsid w:val="2A2D6CA2"/>
    <w:rsid w:val="2A362B88"/>
    <w:rsid w:val="2A3A4979"/>
    <w:rsid w:val="2A6F605C"/>
    <w:rsid w:val="2A7B757A"/>
    <w:rsid w:val="2A881347"/>
    <w:rsid w:val="2A882BD1"/>
    <w:rsid w:val="2AAB5A07"/>
    <w:rsid w:val="2AB0027C"/>
    <w:rsid w:val="2AC62AAF"/>
    <w:rsid w:val="2B063527"/>
    <w:rsid w:val="2B1F62F8"/>
    <w:rsid w:val="2B2B5C45"/>
    <w:rsid w:val="2B454B69"/>
    <w:rsid w:val="2B59601A"/>
    <w:rsid w:val="2BA965BF"/>
    <w:rsid w:val="2BB2578D"/>
    <w:rsid w:val="2BC81746"/>
    <w:rsid w:val="2BEF5454"/>
    <w:rsid w:val="2C0E1D92"/>
    <w:rsid w:val="2C1737F6"/>
    <w:rsid w:val="2C617949"/>
    <w:rsid w:val="2C624A6D"/>
    <w:rsid w:val="2C782382"/>
    <w:rsid w:val="2C876525"/>
    <w:rsid w:val="2C9374F8"/>
    <w:rsid w:val="2CDB03F1"/>
    <w:rsid w:val="2CDF1479"/>
    <w:rsid w:val="2D314337"/>
    <w:rsid w:val="2D320A41"/>
    <w:rsid w:val="2D5A4472"/>
    <w:rsid w:val="2D615A1D"/>
    <w:rsid w:val="2D670FC7"/>
    <w:rsid w:val="2D6F243C"/>
    <w:rsid w:val="2D7C6DAB"/>
    <w:rsid w:val="2D861F85"/>
    <w:rsid w:val="2D9213BB"/>
    <w:rsid w:val="2D956594"/>
    <w:rsid w:val="2DB8419B"/>
    <w:rsid w:val="2DBC69AB"/>
    <w:rsid w:val="2DCB28DC"/>
    <w:rsid w:val="2DD24597"/>
    <w:rsid w:val="2DF2372A"/>
    <w:rsid w:val="2E0065A6"/>
    <w:rsid w:val="2E1D31CF"/>
    <w:rsid w:val="2E283370"/>
    <w:rsid w:val="2E29506F"/>
    <w:rsid w:val="2E58782F"/>
    <w:rsid w:val="2E747395"/>
    <w:rsid w:val="2EAC2156"/>
    <w:rsid w:val="2F006911"/>
    <w:rsid w:val="2F2023BF"/>
    <w:rsid w:val="2F280D7D"/>
    <w:rsid w:val="2F5F475F"/>
    <w:rsid w:val="2F8F4152"/>
    <w:rsid w:val="2F955DC6"/>
    <w:rsid w:val="2FAD5DD7"/>
    <w:rsid w:val="2FC36805"/>
    <w:rsid w:val="2FE44698"/>
    <w:rsid w:val="300B7A01"/>
    <w:rsid w:val="30431545"/>
    <w:rsid w:val="305073FA"/>
    <w:rsid w:val="30593841"/>
    <w:rsid w:val="30761506"/>
    <w:rsid w:val="309E5B01"/>
    <w:rsid w:val="30C008C2"/>
    <w:rsid w:val="30C821F9"/>
    <w:rsid w:val="30EB66AF"/>
    <w:rsid w:val="30F24306"/>
    <w:rsid w:val="312815D9"/>
    <w:rsid w:val="312F2825"/>
    <w:rsid w:val="314324F7"/>
    <w:rsid w:val="31667D6C"/>
    <w:rsid w:val="31A25033"/>
    <w:rsid w:val="31A63050"/>
    <w:rsid w:val="31A7629C"/>
    <w:rsid w:val="31C477BB"/>
    <w:rsid w:val="31C83095"/>
    <w:rsid w:val="31D36692"/>
    <w:rsid w:val="31D85EE4"/>
    <w:rsid w:val="324A6CA9"/>
    <w:rsid w:val="32577751"/>
    <w:rsid w:val="325D43CF"/>
    <w:rsid w:val="327F0B25"/>
    <w:rsid w:val="32E30F27"/>
    <w:rsid w:val="32F70A27"/>
    <w:rsid w:val="33080E32"/>
    <w:rsid w:val="332A2ED3"/>
    <w:rsid w:val="334A6572"/>
    <w:rsid w:val="334D094D"/>
    <w:rsid w:val="339315EB"/>
    <w:rsid w:val="33B112FE"/>
    <w:rsid w:val="33B14520"/>
    <w:rsid w:val="33D44815"/>
    <w:rsid w:val="33E66664"/>
    <w:rsid w:val="33E715DF"/>
    <w:rsid w:val="33EC08DB"/>
    <w:rsid w:val="33F22054"/>
    <w:rsid w:val="34143B30"/>
    <w:rsid w:val="342072E2"/>
    <w:rsid w:val="34373B24"/>
    <w:rsid w:val="34B903B2"/>
    <w:rsid w:val="34DB2B07"/>
    <w:rsid w:val="34F543AF"/>
    <w:rsid w:val="35022526"/>
    <w:rsid w:val="35190466"/>
    <w:rsid w:val="35262426"/>
    <w:rsid w:val="353D7DD5"/>
    <w:rsid w:val="35500795"/>
    <w:rsid w:val="3570096B"/>
    <w:rsid w:val="357E4443"/>
    <w:rsid w:val="358F695C"/>
    <w:rsid w:val="35B17A24"/>
    <w:rsid w:val="35CE64C3"/>
    <w:rsid w:val="35E5397C"/>
    <w:rsid w:val="35F9349C"/>
    <w:rsid w:val="36003CCE"/>
    <w:rsid w:val="36044383"/>
    <w:rsid w:val="3605471E"/>
    <w:rsid w:val="365C4DC7"/>
    <w:rsid w:val="368A33CA"/>
    <w:rsid w:val="36B66032"/>
    <w:rsid w:val="36C16298"/>
    <w:rsid w:val="36D8116D"/>
    <w:rsid w:val="36F67234"/>
    <w:rsid w:val="372B7137"/>
    <w:rsid w:val="3740305A"/>
    <w:rsid w:val="375D40EC"/>
    <w:rsid w:val="376A7B77"/>
    <w:rsid w:val="37843E5A"/>
    <w:rsid w:val="37F108E7"/>
    <w:rsid w:val="381240E7"/>
    <w:rsid w:val="38263780"/>
    <w:rsid w:val="387F3206"/>
    <w:rsid w:val="38AE0CDB"/>
    <w:rsid w:val="38E8468D"/>
    <w:rsid w:val="38ED2766"/>
    <w:rsid w:val="39316244"/>
    <w:rsid w:val="39720AF4"/>
    <w:rsid w:val="398D1FB8"/>
    <w:rsid w:val="39935AEA"/>
    <w:rsid w:val="399B4680"/>
    <w:rsid w:val="39AD5611"/>
    <w:rsid w:val="39C12F52"/>
    <w:rsid w:val="39D0260B"/>
    <w:rsid w:val="39D46974"/>
    <w:rsid w:val="39DE5C54"/>
    <w:rsid w:val="39FB0114"/>
    <w:rsid w:val="3A2C0BE8"/>
    <w:rsid w:val="3A381EE4"/>
    <w:rsid w:val="3A3C4D16"/>
    <w:rsid w:val="3A7E6726"/>
    <w:rsid w:val="3A9A6FF7"/>
    <w:rsid w:val="3AA94511"/>
    <w:rsid w:val="3AD01AC3"/>
    <w:rsid w:val="3AD57229"/>
    <w:rsid w:val="3ADC27D5"/>
    <w:rsid w:val="3AEE2A67"/>
    <w:rsid w:val="3B050266"/>
    <w:rsid w:val="3B3B6826"/>
    <w:rsid w:val="3B512697"/>
    <w:rsid w:val="3B892C06"/>
    <w:rsid w:val="3B8D039C"/>
    <w:rsid w:val="3BB73A6C"/>
    <w:rsid w:val="3BB946D1"/>
    <w:rsid w:val="3BFB7FAD"/>
    <w:rsid w:val="3C5826DA"/>
    <w:rsid w:val="3CAC5A16"/>
    <w:rsid w:val="3CEB1EA8"/>
    <w:rsid w:val="3D58561D"/>
    <w:rsid w:val="3D7E15DB"/>
    <w:rsid w:val="3DDA1240"/>
    <w:rsid w:val="3DF35A70"/>
    <w:rsid w:val="3E093303"/>
    <w:rsid w:val="3E0A24D0"/>
    <w:rsid w:val="3E114AEC"/>
    <w:rsid w:val="3E1221FE"/>
    <w:rsid w:val="3E1B01F9"/>
    <w:rsid w:val="3E947F22"/>
    <w:rsid w:val="3EA60057"/>
    <w:rsid w:val="3EB0687A"/>
    <w:rsid w:val="3EB50F72"/>
    <w:rsid w:val="3ECA2E49"/>
    <w:rsid w:val="3ED1468A"/>
    <w:rsid w:val="3ED17DEB"/>
    <w:rsid w:val="3ED40E8C"/>
    <w:rsid w:val="3F254C46"/>
    <w:rsid w:val="3F323193"/>
    <w:rsid w:val="3F492960"/>
    <w:rsid w:val="3F59674B"/>
    <w:rsid w:val="3FF21052"/>
    <w:rsid w:val="3FFD467D"/>
    <w:rsid w:val="40635435"/>
    <w:rsid w:val="40D65C10"/>
    <w:rsid w:val="41060C0F"/>
    <w:rsid w:val="410A5DA9"/>
    <w:rsid w:val="41130B93"/>
    <w:rsid w:val="4125349A"/>
    <w:rsid w:val="41377507"/>
    <w:rsid w:val="413F6FE3"/>
    <w:rsid w:val="4179101C"/>
    <w:rsid w:val="419A61F2"/>
    <w:rsid w:val="41AD065F"/>
    <w:rsid w:val="41C709BE"/>
    <w:rsid w:val="41E17508"/>
    <w:rsid w:val="41E76B08"/>
    <w:rsid w:val="42327E06"/>
    <w:rsid w:val="4237085F"/>
    <w:rsid w:val="42397BFE"/>
    <w:rsid w:val="42857DF4"/>
    <w:rsid w:val="42DE14F2"/>
    <w:rsid w:val="42E37721"/>
    <w:rsid w:val="43027384"/>
    <w:rsid w:val="430B5B37"/>
    <w:rsid w:val="432D2E26"/>
    <w:rsid w:val="432D596B"/>
    <w:rsid w:val="43397FC5"/>
    <w:rsid w:val="43C4680A"/>
    <w:rsid w:val="440302AB"/>
    <w:rsid w:val="443A5D1A"/>
    <w:rsid w:val="44484FEB"/>
    <w:rsid w:val="445D4E40"/>
    <w:rsid w:val="446D2D01"/>
    <w:rsid w:val="448E29ED"/>
    <w:rsid w:val="44F621FC"/>
    <w:rsid w:val="45253443"/>
    <w:rsid w:val="45295E22"/>
    <w:rsid w:val="453E6ED8"/>
    <w:rsid w:val="456C74A4"/>
    <w:rsid w:val="45A13D1D"/>
    <w:rsid w:val="45A40CAC"/>
    <w:rsid w:val="45E824C1"/>
    <w:rsid w:val="462672E3"/>
    <w:rsid w:val="463B6A23"/>
    <w:rsid w:val="46587F28"/>
    <w:rsid w:val="46611098"/>
    <w:rsid w:val="46805F22"/>
    <w:rsid w:val="468437A4"/>
    <w:rsid w:val="46935D76"/>
    <w:rsid w:val="4694250E"/>
    <w:rsid w:val="46B50D6E"/>
    <w:rsid w:val="46E01F53"/>
    <w:rsid w:val="46E22B84"/>
    <w:rsid w:val="46F86683"/>
    <w:rsid w:val="470C3430"/>
    <w:rsid w:val="47271848"/>
    <w:rsid w:val="47972741"/>
    <w:rsid w:val="47BA1AA0"/>
    <w:rsid w:val="47DB5743"/>
    <w:rsid w:val="47E67A75"/>
    <w:rsid w:val="47EB4201"/>
    <w:rsid w:val="47FF5C0E"/>
    <w:rsid w:val="483F5F85"/>
    <w:rsid w:val="48593990"/>
    <w:rsid w:val="486542D7"/>
    <w:rsid w:val="48680347"/>
    <w:rsid w:val="488973F0"/>
    <w:rsid w:val="488C0C23"/>
    <w:rsid w:val="489F294F"/>
    <w:rsid w:val="48C95E2B"/>
    <w:rsid w:val="48F12A73"/>
    <w:rsid w:val="48FC4E13"/>
    <w:rsid w:val="49067966"/>
    <w:rsid w:val="49125B19"/>
    <w:rsid w:val="495D18DC"/>
    <w:rsid w:val="499B3500"/>
    <w:rsid w:val="49AA3B38"/>
    <w:rsid w:val="49B05381"/>
    <w:rsid w:val="49D25BC0"/>
    <w:rsid w:val="49DD11F8"/>
    <w:rsid w:val="49EB1EF0"/>
    <w:rsid w:val="49EF75B5"/>
    <w:rsid w:val="49F77455"/>
    <w:rsid w:val="4A0D6E27"/>
    <w:rsid w:val="4A1F401C"/>
    <w:rsid w:val="4A2A6C53"/>
    <w:rsid w:val="4A2E2277"/>
    <w:rsid w:val="4A4431FE"/>
    <w:rsid w:val="4A582AB7"/>
    <w:rsid w:val="4A7A6072"/>
    <w:rsid w:val="4B0B3846"/>
    <w:rsid w:val="4B155814"/>
    <w:rsid w:val="4B2671F3"/>
    <w:rsid w:val="4B8146CB"/>
    <w:rsid w:val="4BF308E3"/>
    <w:rsid w:val="4BFA7700"/>
    <w:rsid w:val="4C3373B9"/>
    <w:rsid w:val="4C565226"/>
    <w:rsid w:val="4CC27D4D"/>
    <w:rsid w:val="4CFF221F"/>
    <w:rsid w:val="4D0E4F14"/>
    <w:rsid w:val="4D40284F"/>
    <w:rsid w:val="4D450ECF"/>
    <w:rsid w:val="4D6F55E7"/>
    <w:rsid w:val="4D744F6E"/>
    <w:rsid w:val="4DB5168B"/>
    <w:rsid w:val="4DB95875"/>
    <w:rsid w:val="4DFF70DC"/>
    <w:rsid w:val="4E2130B0"/>
    <w:rsid w:val="4E2C1700"/>
    <w:rsid w:val="4E2F059E"/>
    <w:rsid w:val="4E6C4033"/>
    <w:rsid w:val="4E6E4722"/>
    <w:rsid w:val="4E901CD5"/>
    <w:rsid w:val="4EC9684B"/>
    <w:rsid w:val="4EE158C9"/>
    <w:rsid w:val="4F094FD9"/>
    <w:rsid w:val="4F186740"/>
    <w:rsid w:val="4F306E2F"/>
    <w:rsid w:val="4F4B4D56"/>
    <w:rsid w:val="4F4F07A3"/>
    <w:rsid w:val="4F7271CD"/>
    <w:rsid w:val="4F757F0A"/>
    <w:rsid w:val="501023E5"/>
    <w:rsid w:val="502F6180"/>
    <w:rsid w:val="505E7C45"/>
    <w:rsid w:val="509D643C"/>
    <w:rsid w:val="50CC0A3F"/>
    <w:rsid w:val="50DF4787"/>
    <w:rsid w:val="50E16745"/>
    <w:rsid w:val="51071953"/>
    <w:rsid w:val="511D1FC6"/>
    <w:rsid w:val="514153EC"/>
    <w:rsid w:val="517F71B3"/>
    <w:rsid w:val="51B03CDB"/>
    <w:rsid w:val="51EF565C"/>
    <w:rsid w:val="520466A5"/>
    <w:rsid w:val="520D0ED9"/>
    <w:rsid w:val="523C75C2"/>
    <w:rsid w:val="52A02199"/>
    <w:rsid w:val="52C750AE"/>
    <w:rsid w:val="53034706"/>
    <w:rsid w:val="53086E32"/>
    <w:rsid w:val="532D674A"/>
    <w:rsid w:val="533D71AE"/>
    <w:rsid w:val="53416778"/>
    <w:rsid w:val="535D554A"/>
    <w:rsid w:val="53AD48A2"/>
    <w:rsid w:val="53B74779"/>
    <w:rsid w:val="53BC1A49"/>
    <w:rsid w:val="53C0656B"/>
    <w:rsid w:val="53D164E5"/>
    <w:rsid w:val="53F92E65"/>
    <w:rsid w:val="540D7893"/>
    <w:rsid w:val="541F73C2"/>
    <w:rsid w:val="54581538"/>
    <w:rsid w:val="546D3C73"/>
    <w:rsid w:val="54A072E9"/>
    <w:rsid w:val="54BB6681"/>
    <w:rsid w:val="54C82E2A"/>
    <w:rsid w:val="54CB0B32"/>
    <w:rsid w:val="551639E2"/>
    <w:rsid w:val="55454DBC"/>
    <w:rsid w:val="55723134"/>
    <w:rsid w:val="55C117E0"/>
    <w:rsid w:val="55C837C2"/>
    <w:rsid w:val="55D675A7"/>
    <w:rsid w:val="560A046E"/>
    <w:rsid w:val="56147630"/>
    <w:rsid w:val="56174A3B"/>
    <w:rsid w:val="56180B96"/>
    <w:rsid w:val="56595EDC"/>
    <w:rsid w:val="565D66FD"/>
    <w:rsid w:val="566F07DE"/>
    <w:rsid w:val="56726755"/>
    <w:rsid w:val="56A97EEE"/>
    <w:rsid w:val="56C27267"/>
    <w:rsid w:val="56D7191E"/>
    <w:rsid w:val="56EF4E5E"/>
    <w:rsid w:val="56FA704F"/>
    <w:rsid w:val="57287E75"/>
    <w:rsid w:val="57540352"/>
    <w:rsid w:val="576B2889"/>
    <w:rsid w:val="577322BA"/>
    <w:rsid w:val="57764CB7"/>
    <w:rsid w:val="577F6035"/>
    <w:rsid w:val="57A36740"/>
    <w:rsid w:val="57A92C10"/>
    <w:rsid w:val="57B170B5"/>
    <w:rsid w:val="57C70D48"/>
    <w:rsid w:val="57FC4555"/>
    <w:rsid w:val="581B64EE"/>
    <w:rsid w:val="581C3350"/>
    <w:rsid w:val="5835407E"/>
    <w:rsid w:val="585D623E"/>
    <w:rsid w:val="58977946"/>
    <w:rsid w:val="58CE0155"/>
    <w:rsid w:val="58EA2EB8"/>
    <w:rsid w:val="59524D11"/>
    <w:rsid w:val="596D6860"/>
    <w:rsid w:val="5992602F"/>
    <w:rsid w:val="59AC4370"/>
    <w:rsid w:val="59CF3B18"/>
    <w:rsid w:val="59E614A6"/>
    <w:rsid w:val="5A235E14"/>
    <w:rsid w:val="5A4F2D52"/>
    <w:rsid w:val="5A5400AD"/>
    <w:rsid w:val="5AA02540"/>
    <w:rsid w:val="5AB0303B"/>
    <w:rsid w:val="5AB8130B"/>
    <w:rsid w:val="5AC046E0"/>
    <w:rsid w:val="5AF14410"/>
    <w:rsid w:val="5B270828"/>
    <w:rsid w:val="5B2C6AB4"/>
    <w:rsid w:val="5B457DEA"/>
    <w:rsid w:val="5B6A6FC0"/>
    <w:rsid w:val="5B767EC8"/>
    <w:rsid w:val="5B822245"/>
    <w:rsid w:val="5B840BDA"/>
    <w:rsid w:val="5BA32A10"/>
    <w:rsid w:val="5BC3398B"/>
    <w:rsid w:val="5BD36778"/>
    <w:rsid w:val="5C0B1AB2"/>
    <w:rsid w:val="5C0D30A4"/>
    <w:rsid w:val="5C210850"/>
    <w:rsid w:val="5C467B53"/>
    <w:rsid w:val="5C8F4B03"/>
    <w:rsid w:val="5CAC0FAA"/>
    <w:rsid w:val="5CB52A14"/>
    <w:rsid w:val="5CDB4232"/>
    <w:rsid w:val="5CFF5072"/>
    <w:rsid w:val="5D39006D"/>
    <w:rsid w:val="5D462ECB"/>
    <w:rsid w:val="5DA8297D"/>
    <w:rsid w:val="5DCA4C1F"/>
    <w:rsid w:val="5DCB606D"/>
    <w:rsid w:val="5DE428E5"/>
    <w:rsid w:val="5DEA295F"/>
    <w:rsid w:val="5E017D1F"/>
    <w:rsid w:val="5E1D7CE7"/>
    <w:rsid w:val="5E4E7476"/>
    <w:rsid w:val="5E604A6A"/>
    <w:rsid w:val="5E916C09"/>
    <w:rsid w:val="5EA16581"/>
    <w:rsid w:val="5EB40F2C"/>
    <w:rsid w:val="5ED04B3B"/>
    <w:rsid w:val="5EE2427D"/>
    <w:rsid w:val="5EE27CB0"/>
    <w:rsid w:val="5F347BCD"/>
    <w:rsid w:val="5F640157"/>
    <w:rsid w:val="5F8621BF"/>
    <w:rsid w:val="5F905B21"/>
    <w:rsid w:val="5FD613B8"/>
    <w:rsid w:val="6016407B"/>
    <w:rsid w:val="60283DD5"/>
    <w:rsid w:val="602D1320"/>
    <w:rsid w:val="602D5146"/>
    <w:rsid w:val="603318C9"/>
    <w:rsid w:val="60340108"/>
    <w:rsid w:val="60360434"/>
    <w:rsid w:val="606B316B"/>
    <w:rsid w:val="606B3AB7"/>
    <w:rsid w:val="60704DF9"/>
    <w:rsid w:val="60735B45"/>
    <w:rsid w:val="607D462F"/>
    <w:rsid w:val="60AB1C20"/>
    <w:rsid w:val="60D46174"/>
    <w:rsid w:val="60EF34A0"/>
    <w:rsid w:val="6107129C"/>
    <w:rsid w:val="61321152"/>
    <w:rsid w:val="616E5CE6"/>
    <w:rsid w:val="61A63D11"/>
    <w:rsid w:val="61E42FD9"/>
    <w:rsid w:val="62091076"/>
    <w:rsid w:val="623E28F5"/>
    <w:rsid w:val="62481652"/>
    <w:rsid w:val="62572562"/>
    <w:rsid w:val="628F5EBC"/>
    <w:rsid w:val="62A530E3"/>
    <w:rsid w:val="62C0329A"/>
    <w:rsid w:val="62E11E4F"/>
    <w:rsid w:val="62F42B7E"/>
    <w:rsid w:val="62FC111B"/>
    <w:rsid w:val="633D68B6"/>
    <w:rsid w:val="6344210B"/>
    <w:rsid w:val="63560688"/>
    <w:rsid w:val="635A7469"/>
    <w:rsid w:val="63940C93"/>
    <w:rsid w:val="639B3E64"/>
    <w:rsid w:val="63B73B40"/>
    <w:rsid w:val="63CC05A1"/>
    <w:rsid w:val="64015DB4"/>
    <w:rsid w:val="6414303B"/>
    <w:rsid w:val="641A10B7"/>
    <w:rsid w:val="64587B79"/>
    <w:rsid w:val="64790089"/>
    <w:rsid w:val="64A87FAC"/>
    <w:rsid w:val="64AE5D21"/>
    <w:rsid w:val="64FB2C4C"/>
    <w:rsid w:val="65073470"/>
    <w:rsid w:val="656F2E5B"/>
    <w:rsid w:val="65C86CCA"/>
    <w:rsid w:val="65CD3CD1"/>
    <w:rsid w:val="65D36E12"/>
    <w:rsid w:val="65F16B38"/>
    <w:rsid w:val="66334230"/>
    <w:rsid w:val="66350470"/>
    <w:rsid w:val="666D617D"/>
    <w:rsid w:val="669C0DFC"/>
    <w:rsid w:val="66C4013A"/>
    <w:rsid w:val="66CC4AE3"/>
    <w:rsid w:val="67110F5F"/>
    <w:rsid w:val="67224C00"/>
    <w:rsid w:val="67494326"/>
    <w:rsid w:val="676071B4"/>
    <w:rsid w:val="67703622"/>
    <w:rsid w:val="678707A8"/>
    <w:rsid w:val="67907306"/>
    <w:rsid w:val="67CF3423"/>
    <w:rsid w:val="67D705FD"/>
    <w:rsid w:val="67F111F7"/>
    <w:rsid w:val="68003CBB"/>
    <w:rsid w:val="68055B20"/>
    <w:rsid w:val="685D04B6"/>
    <w:rsid w:val="686A628E"/>
    <w:rsid w:val="68821350"/>
    <w:rsid w:val="68970A0D"/>
    <w:rsid w:val="68E66016"/>
    <w:rsid w:val="68F6432F"/>
    <w:rsid w:val="68F95739"/>
    <w:rsid w:val="696D0FAA"/>
    <w:rsid w:val="69814ADE"/>
    <w:rsid w:val="69CB43AE"/>
    <w:rsid w:val="69DC7CDC"/>
    <w:rsid w:val="69DF0D92"/>
    <w:rsid w:val="69E22E5C"/>
    <w:rsid w:val="69F003A8"/>
    <w:rsid w:val="69F70CF2"/>
    <w:rsid w:val="6A116001"/>
    <w:rsid w:val="6A3F2F05"/>
    <w:rsid w:val="6A413A77"/>
    <w:rsid w:val="6A9A429A"/>
    <w:rsid w:val="6A9D6902"/>
    <w:rsid w:val="6AA36A2F"/>
    <w:rsid w:val="6AA44C9F"/>
    <w:rsid w:val="6AB30E1D"/>
    <w:rsid w:val="6AC64709"/>
    <w:rsid w:val="6AD2478B"/>
    <w:rsid w:val="6AE00ED0"/>
    <w:rsid w:val="6AE543AF"/>
    <w:rsid w:val="6B123B0E"/>
    <w:rsid w:val="6B453258"/>
    <w:rsid w:val="6B4C5E6E"/>
    <w:rsid w:val="6B6A0EB7"/>
    <w:rsid w:val="6BAD6554"/>
    <w:rsid w:val="6BFD6978"/>
    <w:rsid w:val="6BFE5877"/>
    <w:rsid w:val="6C185D78"/>
    <w:rsid w:val="6C2F502A"/>
    <w:rsid w:val="6C521E59"/>
    <w:rsid w:val="6C6B311D"/>
    <w:rsid w:val="6CED1E1A"/>
    <w:rsid w:val="6CFC56A5"/>
    <w:rsid w:val="6D16317D"/>
    <w:rsid w:val="6D5A32F1"/>
    <w:rsid w:val="6D6531C3"/>
    <w:rsid w:val="6D813E3A"/>
    <w:rsid w:val="6D9A531C"/>
    <w:rsid w:val="6D9E3D41"/>
    <w:rsid w:val="6DAA5179"/>
    <w:rsid w:val="6DB86D38"/>
    <w:rsid w:val="6DE36A63"/>
    <w:rsid w:val="6DFE5431"/>
    <w:rsid w:val="6E110DC2"/>
    <w:rsid w:val="6E16421C"/>
    <w:rsid w:val="6E3C29CE"/>
    <w:rsid w:val="6E442850"/>
    <w:rsid w:val="6E49526F"/>
    <w:rsid w:val="6E5E28EE"/>
    <w:rsid w:val="6E5E608F"/>
    <w:rsid w:val="6E7B676D"/>
    <w:rsid w:val="6E7C47D7"/>
    <w:rsid w:val="6E8B3857"/>
    <w:rsid w:val="6E8C666B"/>
    <w:rsid w:val="6E9E18B7"/>
    <w:rsid w:val="6EA30F94"/>
    <w:rsid w:val="6EA96AA0"/>
    <w:rsid w:val="6EAE3D24"/>
    <w:rsid w:val="6EB107DE"/>
    <w:rsid w:val="6ECC6812"/>
    <w:rsid w:val="6EDD78CD"/>
    <w:rsid w:val="6EE90867"/>
    <w:rsid w:val="6F777C97"/>
    <w:rsid w:val="6FB71A19"/>
    <w:rsid w:val="6FC8334E"/>
    <w:rsid w:val="6FC91269"/>
    <w:rsid w:val="70070201"/>
    <w:rsid w:val="70182A05"/>
    <w:rsid w:val="702F0BDC"/>
    <w:rsid w:val="706A2F3F"/>
    <w:rsid w:val="7073156A"/>
    <w:rsid w:val="70851D00"/>
    <w:rsid w:val="70867D48"/>
    <w:rsid w:val="70A97E31"/>
    <w:rsid w:val="70F4015F"/>
    <w:rsid w:val="71226EB7"/>
    <w:rsid w:val="712663D9"/>
    <w:rsid w:val="713101B7"/>
    <w:rsid w:val="71346B8C"/>
    <w:rsid w:val="714F0375"/>
    <w:rsid w:val="71716F4F"/>
    <w:rsid w:val="71BA454A"/>
    <w:rsid w:val="721F7DDE"/>
    <w:rsid w:val="72383747"/>
    <w:rsid w:val="723D4B42"/>
    <w:rsid w:val="726237BB"/>
    <w:rsid w:val="72BE33D5"/>
    <w:rsid w:val="72CA1429"/>
    <w:rsid w:val="72D81256"/>
    <w:rsid w:val="72F2743D"/>
    <w:rsid w:val="730A4897"/>
    <w:rsid w:val="732C48C0"/>
    <w:rsid w:val="732F054E"/>
    <w:rsid w:val="733B267C"/>
    <w:rsid w:val="73491064"/>
    <w:rsid w:val="738D406E"/>
    <w:rsid w:val="73AE7765"/>
    <w:rsid w:val="73B05774"/>
    <w:rsid w:val="73E74F0E"/>
    <w:rsid w:val="74077AAB"/>
    <w:rsid w:val="74105A14"/>
    <w:rsid w:val="742B572F"/>
    <w:rsid w:val="743D44AE"/>
    <w:rsid w:val="74516CD2"/>
    <w:rsid w:val="747364DC"/>
    <w:rsid w:val="74765187"/>
    <w:rsid w:val="74780A1E"/>
    <w:rsid w:val="74AA2A30"/>
    <w:rsid w:val="753D3AB8"/>
    <w:rsid w:val="75D00824"/>
    <w:rsid w:val="75E54F6C"/>
    <w:rsid w:val="762265AA"/>
    <w:rsid w:val="762B548D"/>
    <w:rsid w:val="762D5034"/>
    <w:rsid w:val="766C6FAA"/>
    <w:rsid w:val="767529DF"/>
    <w:rsid w:val="768A5173"/>
    <w:rsid w:val="76AE66B8"/>
    <w:rsid w:val="76FE1944"/>
    <w:rsid w:val="77106DC0"/>
    <w:rsid w:val="77446F2A"/>
    <w:rsid w:val="776B2A9B"/>
    <w:rsid w:val="77714EF0"/>
    <w:rsid w:val="778F6793"/>
    <w:rsid w:val="77AB547D"/>
    <w:rsid w:val="77B51D7E"/>
    <w:rsid w:val="77D82ACA"/>
    <w:rsid w:val="77EA3A69"/>
    <w:rsid w:val="77F15827"/>
    <w:rsid w:val="7814708D"/>
    <w:rsid w:val="784C10FC"/>
    <w:rsid w:val="789B09AA"/>
    <w:rsid w:val="78A17B19"/>
    <w:rsid w:val="78AA06E0"/>
    <w:rsid w:val="78CB3B93"/>
    <w:rsid w:val="78E762C9"/>
    <w:rsid w:val="78EA6EB4"/>
    <w:rsid w:val="794D3EBD"/>
    <w:rsid w:val="79781A5A"/>
    <w:rsid w:val="79C2277B"/>
    <w:rsid w:val="79C61836"/>
    <w:rsid w:val="7A001D45"/>
    <w:rsid w:val="7A0E18DC"/>
    <w:rsid w:val="7A58401A"/>
    <w:rsid w:val="7A7F28A6"/>
    <w:rsid w:val="7AA2411E"/>
    <w:rsid w:val="7AA744F4"/>
    <w:rsid w:val="7AAE332D"/>
    <w:rsid w:val="7AC002CA"/>
    <w:rsid w:val="7AFA3C7E"/>
    <w:rsid w:val="7B0E3CB2"/>
    <w:rsid w:val="7B101F9B"/>
    <w:rsid w:val="7B1515DB"/>
    <w:rsid w:val="7B2D1B2E"/>
    <w:rsid w:val="7B341F81"/>
    <w:rsid w:val="7B995C9D"/>
    <w:rsid w:val="7BA5576E"/>
    <w:rsid w:val="7BCD1C4C"/>
    <w:rsid w:val="7BD72549"/>
    <w:rsid w:val="7C001CB3"/>
    <w:rsid w:val="7C257AEB"/>
    <w:rsid w:val="7C31472E"/>
    <w:rsid w:val="7C52232E"/>
    <w:rsid w:val="7C862471"/>
    <w:rsid w:val="7CAD61DE"/>
    <w:rsid w:val="7CE05242"/>
    <w:rsid w:val="7CFE0CE6"/>
    <w:rsid w:val="7D205C62"/>
    <w:rsid w:val="7D2F56CB"/>
    <w:rsid w:val="7D443CBF"/>
    <w:rsid w:val="7D4D5F1B"/>
    <w:rsid w:val="7D5F5272"/>
    <w:rsid w:val="7D6D074E"/>
    <w:rsid w:val="7D9858D2"/>
    <w:rsid w:val="7DA11683"/>
    <w:rsid w:val="7DAA1DDF"/>
    <w:rsid w:val="7DCC26B1"/>
    <w:rsid w:val="7DCD459A"/>
    <w:rsid w:val="7DD44A1D"/>
    <w:rsid w:val="7DE3617C"/>
    <w:rsid w:val="7DF74D0A"/>
    <w:rsid w:val="7DFA4DC1"/>
    <w:rsid w:val="7E096BE4"/>
    <w:rsid w:val="7E1072F7"/>
    <w:rsid w:val="7E2E4CCA"/>
    <w:rsid w:val="7E815C3E"/>
    <w:rsid w:val="7E89082D"/>
    <w:rsid w:val="7EBD6A79"/>
    <w:rsid w:val="7EE84D7C"/>
    <w:rsid w:val="7F0A1018"/>
    <w:rsid w:val="7F265E64"/>
    <w:rsid w:val="7FC75AA9"/>
    <w:rsid w:val="7FF106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60" w:lineRule="exact"/>
      <w:ind w:firstLine="640" w:firstLineChars="200"/>
      <w:jc w:val="both"/>
    </w:pPr>
    <w:rPr>
      <w:rFonts w:ascii="仿宋_GB2312" w:hAnsi="仿宋_GB2312" w:eastAsia="仿宋_GB2312" w:cs="Times New Roman"/>
      <w:kern w:val="2"/>
      <w:sz w:val="32"/>
      <w:szCs w:val="24"/>
      <w:lang w:val="en-US" w:eastAsia="zh-CN" w:bidi="ar-SA"/>
    </w:rPr>
  </w:style>
  <w:style w:type="paragraph" w:styleId="3">
    <w:name w:val="heading 1"/>
    <w:basedOn w:val="1"/>
    <w:next w:val="1"/>
    <w:link w:val="26"/>
    <w:qFormat/>
    <w:uiPriority w:val="0"/>
    <w:pPr>
      <w:keepNext/>
      <w:keepLines/>
      <w:outlineLvl w:val="0"/>
    </w:pPr>
    <w:rPr>
      <w:rFonts w:ascii="黑体" w:hAnsi="黑体" w:eastAsia="黑体"/>
      <w:b/>
      <w:kern w:val="44"/>
    </w:rPr>
  </w:style>
  <w:style w:type="paragraph" w:styleId="4">
    <w:name w:val="heading 2"/>
    <w:basedOn w:val="1"/>
    <w:next w:val="1"/>
    <w:link w:val="27"/>
    <w:unhideWhenUsed/>
    <w:qFormat/>
    <w:uiPriority w:val="0"/>
    <w:pPr>
      <w:keepNext/>
      <w:keepLines/>
      <w:outlineLvl w:val="1"/>
    </w:pPr>
    <w:rPr>
      <w:b/>
    </w:rPr>
  </w:style>
  <w:style w:type="paragraph" w:styleId="5">
    <w:name w:val="heading 3"/>
    <w:basedOn w:val="1"/>
    <w:next w:val="1"/>
    <w:unhideWhenUsed/>
    <w:qFormat/>
    <w:uiPriority w:val="0"/>
    <w:pPr>
      <w:keepNext/>
      <w:keepLines/>
      <w:outlineLvl w:val="2"/>
    </w:pPr>
    <w:rPr>
      <w:b/>
    </w:rPr>
  </w:style>
  <w:style w:type="paragraph" w:styleId="2">
    <w:name w:val="heading 6"/>
    <w:basedOn w:val="1"/>
    <w:next w:val="1"/>
    <w:unhideWhenUsed/>
    <w:qFormat/>
    <w:uiPriority w:val="9"/>
    <w:pPr>
      <w:keepNext/>
      <w:keepLines/>
      <w:spacing w:line="360" w:lineRule="auto"/>
      <w:outlineLvl w:val="5"/>
    </w:pPr>
    <w:rPr>
      <w:rFonts w:ascii="Cambria" w:hAnsi="Cambria"/>
      <w:bCs/>
      <w:sz w:val="24"/>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qFormat/>
    <w:uiPriority w:val="0"/>
    <w:pPr>
      <w:spacing w:after="120"/>
    </w:pPr>
  </w:style>
  <w:style w:type="paragraph" w:styleId="7">
    <w:name w:val="toc 3"/>
    <w:basedOn w:val="1"/>
    <w:next w:val="1"/>
    <w:qFormat/>
    <w:uiPriority w:val="0"/>
    <w:pPr>
      <w:ind w:left="840" w:leftChars="400"/>
    </w:pPr>
  </w:style>
  <w:style w:type="paragraph" w:styleId="8">
    <w:name w:val="Balloon Text"/>
    <w:basedOn w:val="1"/>
    <w:link w:val="24"/>
    <w:qFormat/>
    <w:uiPriority w:val="0"/>
    <w:pPr>
      <w:spacing w:line="240" w:lineRule="auto"/>
    </w:pPr>
    <w:rPr>
      <w:sz w:val="18"/>
      <w:szCs w:val="18"/>
    </w:rPr>
  </w:style>
  <w:style w:type="paragraph" w:styleId="9">
    <w:name w:val="footer"/>
    <w:basedOn w:val="1"/>
    <w:link w:val="23"/>
    <w:qFormat/>
    <w:uiPriority w:val="99"/>
    <w:pPr>
      <w:tabs>
        <w:tab w:val="center" w:pos="4153"/>
        <w:tab w:val="right" w:pos="8306"/>
      </w:tabs>
      <w:snapToGrid w:val="0"/>
      <w:jc w:val="left"/>
    </w:pPr>
    <w:rPr>
      <w:sz w:val="18"/>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0"/>
  </w:style>
  <w:style w:type="paragraph" w:styleId="12">
    <w:name w:val="footnote text"/>
    <w:basedOn w:val="1"/>
    <w:unhideWhenUsed/>
    <w:qFormat/>
    <w:uiPriority w:val="99"/>
    <w:pPr>
      <w:snapToGrid w:val="0"/>
      <w:jc w:val="left"/>
    </w:pPr>
    <w:rPr>
      <w:sz w:val="18"/>
      <w:szCs w:val="18"/>
    </w:rPr>
  </w:style>
  <w:style w:type="paragraph" w:styleId="13">
    <w:name w:val="toc 2"/>
    <w:basedOn w:val="1"/>
    <w:next w:val="1"/>
    <w:qFormat/>
    <w:uiPriority w:val="0"/>
    <w:pPr>
      <w:ind w:left="420" w:leftChars="200"/>
    </w:pPr>
  </w:style>
  <w:style w:type="paragraph" w:styleId="14">
    <w:name w:val="Normal (Web)"/>
    <w:basedOn w:val="1"/>
    <w:qFormat/>
    <w:uiPriority w:val="0"/>
    <w:pPr>
      <w:jc w:val="left"/>
    </w:pPr>
    <w:rPr>
      <w:kern w:val="0"/>
      <w:sz w:val="24"/>
    </w:rPr>
  </w:style>
  <w:style w:type="paragraph" w:styleId="15">
    <w:name w:val="Title"/>
    <w:basedOn w:val="1"/>
    <w:next w:val="1"/>
    <w:qFormat/>
    <w:uiPriority w:val="0"/>
    <w:pPr>
      <w:jc w:val="center"/>
      <w:outlineLvl w:val="0"/>
    </w:pPr>
    <w:rPr>
      <w:rFonts w:ascii="Cambria" w:hAnsi="Cambria" w:eastAsia="黑体"/>
      <w:b/>
      <w:bCs/>
      <w:szCs w:val="3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FollowedHyperlink"/>
    <w:basedOn w:val="18"/>
    <w:qFormat/>
    <w:uiPriority w:val="0"/>
    <w:rPr>
      <w:color w:val="333333"/>
      <w:u w:val="none"/>
    </w:rPr>
  </w:style>
  <w:style w:type="character" w:styleId="20">
    <w:name w:val="Hyperlink"/>
    <w:basedOn w:val="18"/>
    <w:qFormat/>
    <w:uiPriority w:val="0"/>
    <w:rPr>
      <w:color w:val="333333"/>
      <w:u w:val="none"/>
    </w:rPr>
  </w:style>
  <w:style w:type="character" w:styleId="21">
    <w:name w:val="footnote reference"/>
    <w:qFormat/>
    <w:uiPriority w:val="99"/>
    <w:rPr>
      <w:vertAlign w:val="superscript"/>
    </w:rPr>
  </w:style>
  <w:style w:type="paragraph" w:styleId="22">
    <w:name w:val="List Paragraph"/>
    <w:basedOn w:val="1"/>
    <w:qFormat/>
    <w:uiPriority w:val="99"/>
    <w:pPr>
      <w:ind w:firstLine="420"/>
    </w:pPr>
  </w:style>
  <w:style w:type="character" w:customStyle="1" w:styleId="23">
    <w:name w:val="页脚 Char"/>
    <w:basedOn w:val="18"/>
    <w:link w:val="9"/>
    <w:qFormat/>
    <w:uiPriority w:val="99"/>
    <w:rPr>
      <w:rFonts w:ascii="仿宋_GB2312" w:hAnsi="仿宋_GB2312" w:eastAsia="仿宋_GB2312"/>
      <w:kern w:val="2"/>
      <w:sz w:val="18"/>
      <w:szCs w:val="24"/>
    </w:rPr>
  </w:style>
  <w:style w:type="character" w:customStyle="1" w:styleId="24">
    <w:name w:val="批注框文本 Char"/>
    <w:basedOn w:val="18"/>
    <w:link w:val="8"/>
    <w:qFormat/>
    <w:uiPriority w:val="0"/>
    <w:rPr>
      <w:rFonts w:ascii="仿宋_GB2312" w:hAnsi="仿宋_GB2312" w:eastAsia="仿宋_GB2312"/>
      <w:kern w:val="2"/>
      <w:sz w:val="18"/>
      <w:szCs w:val="18"/>
    </w:rPr>
  </w:style>
  <w:style w:type="paragraph" w:customStyle="1" w:styleId="25">
    <w:name w:val="闻政正文"/>
    <w:basedOn w:val="1"/>
    <w:qFormat/>
    <w:uiPriority w:val="0"/>
    <w:pPr>
      <w:spacing w:line="500" w:lineRule="exact"/>
      <w:ind w:firstLine="200"/>
    </w:pPr>
    <w:rPr>
      <w:rFonts w:ascii="Times New Roman" w:hAnsi="Times New Roman"/>
      <w:kern w:val="0"/>
      <w:sz w:val="28"/>
      <w:szCs w:val="28"/>
      <w:lang w:val="zh-CN"/>
    </w:rPr>
  </w:style>
  <w:style w:type="character" w:customStyle="1" w:styleId="26">
    <w:name w:val="标题 1 Char"/>
    <w:link w:val="3"/>
    <w:qFormat/>
    <w:uiPriority w:val="0"/>
    <w:rPr>
      <w:rFonts w:ascii="黑体" w:hAnsi="黑体" w:eastAsia="黑体"/>
      <w:b/>
      <w:kern w:val="44"/>
    </w:rPr>
  </w:style>
  <w:style w:type="character" w:customStyle="1" w:styleId="27">
    <w:name w:val="标题 2 Char"/>
    <w:link w:val="4"/>
    <w:qFormat/>
    <w:uiPriority w:val="0"/>
    <w:rPr>
      <w:b/>
    </w:rPr>
  </w:style>
  <w:style w:type="paragraph" w:customStyle="1" w:styleId="28">
    <w:name w:val="WPSOffice手动目录 1"/>
    <w:qFormat/>
    <w:uiPriority w:val="0"/>
    <w:rPr>
      <w:rFonts w:ascii="Calibri" w:hAnsi="Calibri" w:eastAsia="宋体" w:cs="Times New Roman"/>
      <w:lang w:val="en-US" w:eastAsia="zh-CN" w:bidi="ar-SA"/>
    </w:rPr>
  </w:style>
  <w:style w:type="paragraph" w:customStyle="1" w:styleId="29">
    <w:name w:val="WPSOffice手动目录 2"/>
    <w:qFormat/>
    <w:uiPriority w:val="0"/>
    <w:pPr>
      <w:ind w:left="200" w:leftChars="200"/>
    </w:pPr>
    <w:rPr>
      <w:rFonts w:ascii="Calibri" w:hAnsi="Calibri" w:eastAsia="宋体" w:cs="Times New Roman"/>
      <w:lang w:val="en-US" w:eastAsia="zh-CN" w:bidi="ar-SA"/>
    </w:rPr>
  </w:style>
  <w:style w:type="character" w:customStyle="1" w:styleId="30">
    <w:name w:val="font01"/>
    <w:basedOn w:val="18"/>
    <w:qFormat/>
    <w:uiPriority w:val="0"/>
    <w:rPr>
      <w:rFonts w:hint="eastAsia" w:ascii="宋体" w:hAnsi="宋体" w:eastAsia="宋体" w:cs="宋体"/>
      <w:b/>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6" Type="http://schemas.openxmlformats.org/officeDocument/2006/relationships/fontTable" Target="fontTable.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2.png"/><Relationship Id="rId42" Type="http://schemas.openxmlformats.org/officeDocument/2006/relationships/image" Target="media/image21.png"/><Relationship Id="rId41" Type="http://schemas.openxmlformats.org/officeDocument/2006/relationships/image" Target="media/image20.png"/><Relationship Id="rId40" Type="http://schemas.openxmlformats.org/officeDocument/2006/relationships/image" Target="media/image19.png"/><Relationship Id="rId4" Type="http://schemas.openxmlformats.org/officeDocument/2006/relationships/endnotes" Target="endnotes.xml"/><Relationship Id="rId39" Type="http://schemas.openxmlformats.org/officeDocument/2006/relationships/image" Target="media/image18.png"/><Relationship Id="rId38" Type="http://schemas.openxmlformats.org/officeDocument/2006/relationships/image" Target="media/image17.png"/><Relationship Id="rId37" Type="http://schemas.openxmlformats.org/officeDocument/2006/relationships/image" Target="media/image16.png"/><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footnotes" Target="footnotes.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image" Target="media/image1.png"/><Relationship Id="rId21" Type="http://schemas.openxmlformats.org/officeDocument/2006/relationships/chart" Target="charts/chart6.xml"/><Relationship Id="rId20" Type="http://schemas.openxmlformats.org/officeDocument/2006/relationships/chart" Target="charts/chart5.xml"/><Relationship Id="rId2" Type="http://schemas.openxmlformats.org/officeDocument/2006/relationships/settings" Target="settings.xml"/><Relationship Id="rId19" Type="http://schemas.openxmlformats.org/officeDocument/2006/relationships/chart" Target="charts/chart4.xml"/><Relationship Id="rId18" Type="http://schemas.openxmlformats.org/officeDocument/2006/relationships/chart" Target="charts/chart3.xml"/><Relationship Id="rId17" Type="http://schemas.openxmlformats.org/officeDocument/2006/relationships/chart" Target="charts/chart2.xml"/><Relationship Id="rId16" Type="http://schemas.openxmlformats.org/officeDocument/2006/relationships/chart" Target="charts/chart1.xml"/><Relationship Id="rId15" Type="http://schemas.openxmlformats.org/officeDocument/2006/relationships/theme" Target="theme/theme1.xml"/><Relationship Id="rId14" Type="http://schemas.openxmlformats.org/officeDocument/2006/relationships/footer" Target="footer6.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file:///G:\&#32489;&#25928;&#35780;&#20215;2020\&#30465;&#22996;&#32534;&#21150;2020&#24180;&#24230;&#32489;&#25928;&#12289;&#36130;&#25919;&#35780;&#20215;\&#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32489;&#25928;&#35780;&#20215;2020\&#30465;&#22996;&#32534;&#21150;2020&#24180;&#24230;&#32489;&#25928;&#12289;&#36130;&#25919;&#35780;&#20215;\&#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32489;&#25928;&#35780;&#20215;2020\&#30465;&#22996;&#32534;&#21150;2020&#24180;&#24230;&#32489;&#25928;&#12289;&#36130;&#25919;&#35780;&#20215;\&#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32489;&#25928;&#35780;&#20215;2020\&#30465;&#22996;&#32534;&#21150;2020&#24180;&#24230;&#32489;&#25928;&#12289;&#36130;&#25919;&#35780;&#20215;\&#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32489;&#25928;&#35780;&#20215;2020\&#30465;&#22996;&#32534;&#21150;2020&#24180;&#24230;&#32489;&#25928;&#12289;&#36130;&#25919;&#35780;&#20215;\&#22270;&#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G:\&#32489;&#25928;&#35780;&#20215;\&#32844;&#33021;&#37096;&#29579;&#20426;&#28059;&#31227;&#20132;&#30005;&#23376;&#36164;&#26009;\&#30333;&#38134;&#24066;&#29615;&#20445;&#23616;\&#25351;&#26631;&#20307;&#31995;&#12289;&#35843;&#26597;&#38382;&#21367;&#21450;&#20854;&#23427;\&#25968;&#25454;&#20998;&#2651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601242236024845"/>
          <c:y val="0.0316700843016633"/>
          <c:w val="0.879834368530021"/>
          <c:h val="0.764502164502165"/>
        </c:manualLayout>
      </c:layout>
      <c:barChart>
        <c:barDir val="col"/>
        <c:grouping val="clustered"/>
        <c:varyColors val="0"/>
        <c:ser>
          <c:idx val="0"/>
          <c:order val="0"/>
          <c:tx>
            <c:strRef>
              <c:f>[图表.xls]反恐1!$B$3</c:f>
              <c:strCache>
                <c:ptCount val="1"/>
                <c:pt idx="0">
                  <c:v>分值</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[图表.xls]反恐1!$C$2:$F$2</c:f>
              <c:strCache>
                <c:ptCount val="4"/>
                <c:pt idx="0">
                  <c:v>决策</c:v>
                </c:pt>
                <c:pt idx="1">
                  <c:v>过程</c:v>
                </c:pt>
                <c:pt idx="2">
                  <c:v>产出</c:v>
                </c:pt>
                <c:pt idx="3">
                  <c:v>效益</c:v>
                </c:pt>
              </c:strCache>
            </c:strRef>
          </c:cat>
          <c:val>
            <c:numRef>
              <c:f>[图表.xls]反恐1!$C$3:$F$3</c:f>
              <c:numCache>
                <c:formatCode>General</c:formatCode>
                <c:ptCount val="4"/>
                <c:pt idx="0">
                  <c:v>12</c:v>
                </c:pt>
                <c:pt idx="1">
                  <c:v>25</c:v>
                </c:pt>
                <c:pt idx="2">
                  <c:v>37</c:v>
                </c:pt>
                <c:pt idx="3">
                  <c:v>26</c:v>
                </c:pt>
              </c:numCache>
            </c:numRef>
          </c:val>
        </c:ser>
        <c:ser>
          <c:idx val="1"/>
          <c:order val="1"/>
          <c:tx>
            <c:strRef>
              <c:f>[图表.xls]反恐1!$B$4</c:f>
              <c:strCache>
                <c:ptCount val="1"/>
                <c:pt idx="0">
                  <c:v>得分</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[图表.xls]反恐1!$C$2:$F$2</c:f>
              <c:strCache>
                <c:ptCount val="4"/>
                <c:pt idx="0">
                  <c:v>决策</c:v>
                </c:pt>
                <c:pt idx="1">
                  <c:v>过程</c:v>
                </c:pt>
                <c:pt idx="2">
                  <c:v>产出</c:v>
                </c:pt>
                <c:pt idx="3">
                  <c:v>效益</c:v>
                </c:pt>
              </c:strCache>
            </c:strRef>
          </c:cat>
          <c:val>
            <c:numRef>
              <c:f>[图表.xls]反恐1!$C$4:$F$4</c:f>
              <c:numCache>
                <c:formatCode>General</c:formatCode>
                <c:ptCount val="4"/>
                <c:pt idx="0">
                  <c:v>9</c:v>
                </c:pt>
                <c:pt idx="1">
                  <c:v>23</c:v>
                </c:pt>
                <c:pt idx="2">
                  <c:v>36.9</c:v>
                </c:pt>
                <c:pt idx="3">
                  <c:v>25.8</c:v>
                </c:pt>
              </c:numCache>
            </c:numRef>
          </c:val>
        </c:ser>
        <c:dLbls>
          <c:showLegendKey val="0"/>
          <c:showVal val="0"/>
          <c:showCatName val="0"/>
          <c:showSerName val="0"/>
          <c:showPercent val="0"/>
          <c:showBubbleSize val="0"/>
        </c:dLbls>
        <c:gapWidth val="200"/>
        <c:overlap val="-20"/>
        <c:axId val="511061536"/>
        <c:axId val="506541792"/>
      </c:barChart>
      <c:catAx>
        <c:axId val="511061536"/>
        <c:scaling>
          <c:orientation val="minMax"/>
        </c:scaling>
        <c:delete val="0"/>
        <c:axPos val="b"/>
        <c:numFmt formatCode="General" sourceLinked="0"/>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06541792"/>
        <c:crosses val="autoZero"/>
        <c:auto val="1"/>
        <c:lblAlgn val="ctr"/>
        <c:lblOffset val="100"/>
        <c:noMultiLvlLbl val="0"/>
      </c:catAx>
      <c:valAx>
        <c:axId val="506541792"/>
        <c:scaling>
          <c:orientation val="minMax"/>
        </c:scaling>
        <c:delete val="0"/>
        <c:axPos val="l"/>
        <c:numFmt formatCode="General" sourceLinked="1"/>
        <c:majorTickMark val="in"/>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511061536"/>
        <c:crosses val="autoZero"/>
        <c:crossBetween val="between"/>
      </c:valAx>
      <c:spPr>
        <a:noFill/>
      </c:spPr>
    </c:plotArea>
    <c:legend>
      <c:legendPos val="r"/>
      <c:layout>
        <c:manualLayout>
          <c:xMode val="edge"/>
          <c:yMode val="edge"/>
          <c:x val="0.36675"/>
          <c:y val="0.87875"/>
          <c:w val="0.2645"/>
          <c:h val="0.10975"/>
        </c:manualLayout>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spPr>
    <a:noFill/>
    <a:ln w="6350" cap="flat" cmpd="sng" algn="ctr">
      <a:noFill/>
      <a:prstDash val="solid"/>
      <a:round/>
    </a:ln>
  </c:spPr>
  <c:txPr>
    <a:bodyPr wrap="square"/>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771169354839"/>
          <c:y val="0.0872766100932899"/>
          <c:w val="0.527638888888889"/>
          <c:h val="0.747246262785208"/>
        </c:manualLayout>
      </c:layout>
      <c:radarChart>
        <c:radarStyle val="marker"/>
        <c:varyColors val="0"/>
        <c:ser>
          <c:idx val="0"/>
          <c:order val="0"/>
          <c:tx>
            <c:strRef>
              <c:f>[图表.xls]反恐2!$D$2</c:f>
              <c:strCache>
                <c:ptCount val="1"/>
                <c:pt idx="0">
                  <c:v>分值</c:v>
                </c:pt>
              </c:strCache>
            </c:strRef>
          </c:tx>
          <c:spPr>
            <a:ln w="28575" cap="rnd" cmpd="sng" algn="ctr">
              <a:solidFill>
                <a:schemeClr val="accent1"/>
              </a:solidFill>
              <a:prstDash val="solid"/>
              <a:round/>
            </a:ln>
            <a:effectLst/>
          </c:spPr>
          <c:marker>
            <c:symbol val="none"/>
          </c:marker>
          <c:dLbls>
            <c:delete val="1"/>
          </c:dLbls>
          <c:cat>
            <c:strRef>
              <c:f>[图表.xls]反恐2!$C$3:$C$8</c:f>
              <c:strCache>
                <c:ptCount val="6"/>
                <c:pt idx="0">
                  <c:v>申报依据充分性</c:v>
                </c:pt>
                <c:pt idx="1">
                  <c:v>申报程序规范性</c:v>
                </c:pt>
                <c:pt idx="2">
                  <c:v>绩效目标合理性</c:v>
                </c:pt>
                <c:pt idx="3">
                  <c:v>绩效指标明确性</c:v>
                </c:pt>
                <c:pt idx="4">
                  <c:v>预算编制科学性</c:v>
                </c:pt>
                <c:pt idx="5">
                  <c:v>资金分配合理性</c:v>
                </c:pt>
              </c:strCache>
            </c:strRef>
          </c:cat>
          <c:val>
            <c:numRef>
              <c:f>[图表.xls]反恐2!$D$3:$D$8</c:f>
              <c:numCache>
                <c:formatCode>General</c:formatCode>
                <c:ptCount val="6"/>
                <c:pt idx="0">
                  <c:v>2</c:v>
                </c:pt>
                <c:pt idx="1">
                  <c:v>2</c:v>
                </c:pt>
                <c:pt idx="2">
                  <c:v>2</c:v>
                </c:pt>
                <c:pt idx="3">
                  <c:v>2</c:v>
                </c:pt>
                <c:pt idx="4">
                  <c:v>2</c:v>
                </c:pt>
                <c:pt idx="5">
                  <c:v>2</c:v>
                </c:pt>
              </c:numCache>
            </c:numRef>
          </c:val>
        </c:ser>
        <c:ser>
          <c:idx val="1"/>
          <c:order val="1"/>
          <c:tx>
            <c:strRef>
              <c:f>[图表.xls]反恐2!$E$2</c:f>
              <c:strCache>
                <c:ptCount val="1"/>
                <c:pt idx="0">
                  <c:v>得分</c:v>
                </c:pt>
              </c:strCache>
            </c:strRef>
          </c:tx>
          <c:spPr>
            <a:ln w="28575" cap="rnd" cmpd="sng" algn="ctr">
              <a:solidFill>
                <a:schemeClr val="accent2"/>
              </a:solidFill>
              <a:prstDash val="solid"/>
              <a:round/>
            </a:ln>
            <a:effectLst/>
          </c:spPr>
          <c:marker>
            <c:symbol val="none"/>
          </c:marker>
          <c:dLbls>
            <c:delete val="1"/>
          </c:dLbls>
          <c:cat>
            <c:strRef>
              <c:f>[图表.xls]反恐2!$C$3:$C$8</c:f>
              <c:strCache>
                <c:ptCount val="6"/>
                <c:pt idx="0">
                  <c:v>申报依据充分性</c:v>
                </c:pt>
                <c:pt idx="1">
                  <c:v>申报程序规范性</c:v>
                </c:pt>
                <c:pt idx="2">
                  <c:v>绩效目标合理性</c:v>
                </c:pt>
                <c:pt idx="3">
                  <c:v>绩效指标明确性</c:v>
                </c:pt>
                <c:pt idx="4">
                  <c:v>预算编制科学性</c:v>
                </c:pt>
                <c:pt idx="5">
                  <c:v>资金分配合理性</c:v>
                </c:pt>
              </c:strCache>
            </c:strRef>
          </c:cat>
          <c:val>
            <c:numRef>
              <c:f>[图表.xls]反恐2!$E$3:$E$8</c:f>
              <c:numCache>
                <c:formatCode>General</c:formatCode>
                <c:ptCount val="6"/>
                <c:pt idx="0">
                  <c:v>2</c:v>
                </c:pt>
                <c:pt idx="1">
                  <c:v>2</c:v>
                </c:pt>
                <c:pt idx="2">
                  <c:v>2</c:v>
                </c:pt>
                <c:pt idx="3">
                  <c:v>2</c:v>
                </c:pt>
                <c:pt idx="4">
                  <c:v>0</c:v>
                </c:pt>
                <c:pt idx="5">
                  <c:v>1</c:v>
                </c:pt>
              </c:numCache>
            </c:numRef>
          </c:val>
        </c:ser>
        <c:dLbls>
          <c:showLegendKey val="0"/>
          <c:showVal val="0"/>
          <c:showCatName val="0"/>
          <c:showSerName val="0"/>
          <c:showPercent val="0"/>
          <c:showBubbleSize val="0"/>
        </c:dLbls>
        <c:axId val="506542576"/>
        <c:axId val="506542968"/>
      </c:radarChart>
      <c:catAx>
        <c:axId val="506542576"/>
        <c:scaling>
          <c:orientation val="minMax"/>
        </c:scaling>
        <c:delete val="0"/>
        <c:axPos val="b"/>
        <c:majorGridlines>
          <c:spPr>
            <a:ln w="3175" cap="flat" cmpd="sng" algn="ctr">
              <a:solidFill>
                <a:srgbClr val="808080">
                  <a:alpha val="100000"/>
                </a:srgbClr>
              </a:solidFill>
              <a:prstDash val="solid"/>
              <a:round/>
            </a:ln>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542968"/>
        <c:crosses val="autoZero"/>
        <c:auto val="1"/>
        <c:lblAlgn val="ctr"/>
        <c:lblOffset val="100"/>
        <c:noMultiLvlLbl val="0"/>
      </c:catAx>
      <c:valAx>
        <c:axId val="50654296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6542576"/>
        <c:crosses val="autoZero"/>
        <c:crossBetween val="between"/>
      </c:valAx>
      <c:spPr>
        <a:noFill/>
        <a:ln>
          <a:noFill/>
        </a:ln>
        <a:effectLst/>
      </c:spPr>
    </c:plotArea>
    <c:legend>
      <c:legendPos val="r"/>
      <c:layout>
        <c:manualLayout>
          <c:xMode val="edge"/>
          <c:yMode val="edge"/>
          <c:x val="0.35525"/>
          <c:y val="0.915"/>
          <c:w val="0.388888888888889"/>
          <c:h val="0.07433217189314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wrap="square"/>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771169354839"/>
          <c:y val="0.0872766100932899"/>
          <c:w val="0.527638888888889"/>
          <c:h val="0.747246262785208"/>
        </c:manualLayout>
      </c:layout>
      <c:radarChart>
        <c:radarStyle val="marker"/>
        <c:varyColors val="0"/>
        <c:ser>
          <c:idx val="0"/>
          <c:order val="0"/>
          <c:tx>
            <c:strRef>
              <c:f>[图表.xls]反恐2!$D$9</c:f>
              <c:strCache>
                <c:ptCount val="1"/>
                <c:pt idx="0">
                  <c:v>分值</c:v>
                </c:pt>
              </c:strCache>
            </c:strRef>
          </c:tx>
          <c:spPr>
            <a:ln w="28575" cap="rnd" cmpd="sng" algn="ctr">
              <a:solidFill>
                <a:schemeClr val="accent1"/>
              </a:solidFill>
              <a:prstDash val="solid"/>
              <a:round/>
            </a:ln>
            <a:effectLst/>
          </c:spPr>
          <c:marker>
            <c:symbol val="none"/>
          </c:marker>
          <c:dLbls>
            <c:delete val="1"/>
          </c:dLbls>
          <c:cat>
            <c:strRef>
              <c:f>[图表.xls]反恐2!$C$10:$C$17</c:f>
              <c:strCache>
                <c:ptCount val="8"/>
                <c:pt idx="0">
                  <c:v>资金到位率</c:v>
                </c:pt>
                <c:pt idx="1">
                  <c:v>预算执行率</c:v>
                </c:pt>
                <c:pt idx="2">
                  <c:v>资金使用合规性</c:v>
                </c:pt>
                <c:pt idx="3">
                  <c:v>会计信息质量</c:v>
                </c:pt>
                <c:pt idx="4">
                  <c:v>管理制度健全性</c:v>
                </c:pt>
                <c:pt idx="5">
                  <c:v>制度执行有效性</c:v>
                </c:pt>
                <c:pt idx="6">
                  <c:v>采购管理合规性</c:v>
                </c:pt>
                <c:pt idx="7">
                  <c:v>档案管理规范性</c:v>
                </c:pt>
              </c:strCache>
            </c:strRef>
          </c:cat>
          <c:val>
            <c:numRef>
              <c:f>[图表.xls]反恐2!$D$10:$D$17</c:f>
              <c:numCache>
                <c:formatCode>General</c:formatCode>
                <c:ptCount val="8"/>
                <c:pt idx="0">
                  <c:v>3</c:v>
                </c:pt>
                <c:pt idx="1">
                  <c:v>4</c:v>
                </c:pt>
                <c:pt idx="2">
                  <c:v>4</c:v>
                </c:pt>
                <c:pt idx="3">
                  <c:v>4</c:v>
                </c:pt>
                <c:pt idx="4">
                  <c:v>2</c:v>
                </c:pt>
                <c:pt idx="5">
                  <c:v>2</c:v>
                </c:pt>
                <c:pt idx="6">
                  <c:v>3</c:v>
                </c:pt>
                <c:pt idx="7">
                  <c:v>3</c:v>
                </c:pt>
              </c:numCache>
            </c:numRef>
          </c:val>
        </c:ser>
        <c:ser>
          <c:idx val="1"/>
          <c:order val="1"/>
          <c:tx>
            <c:strRef>
              <c:f>[图表.xls]反恐2!$E$9</c:f>
              <c:strCache>
                <c:ptCount val="1"/>
                <c:pt idx="0">
                  <c:v>得分</c:v>
                </c:pt>
              </c:strCache>
            </c:strRef>
          </c:tx>
          <c:spPr>
            <a:ln w="28575" cap="rnd" cmpd="sng" algn="ctr">
              <a:solidFill>
                <a:schemeClr val="accent2"/>
              </a:solidFill>
              <a:prstDash val="solid"/>
              <a:round/>
            </a:ln>
            <a:effectLst/>
          </c:spPr>
          <c:marker>
            <c:symbol val="none"/>
          </c:marker>
          <c:dLbls>
            <c:delete val="1"/>
          </c:dLbls>
          <c:cat>
            <c:strRef>
              <c:f>[图表.xls]反恐2!$C$10:$C$17</c:f>
              <c:strCache>
                <c:ptCount val="8"/>
                <c:pt idx="0">
                  <c:v>资金到位率</c:v>
                </c:pt>
                <c:pt idx="1">
                  <c:v>预算执行率</c:v>
                </c:pt>
                <c:pt idx="2">
                  <c:v>资金使用合规性</c:v>
                </c:pt>
                <c:pt idx="3">
                  <c:v>会计信息质量</c:v>
                </c:pt>
                <c:pt idx="4">
                  <c:v>管理制度健全性</c:v>
                </c:pt>
                <c:pt idx="5">
                  <c:v>制度执行有效性</c:v>
                </c:pt>
                <c:pt idx="6">
                  <c:v>采购管理合规性</c:v>
                </c:pt>
                <c:pt idx="7">
                  <c:v>档案管理规范性</c:v>
                </c:pt>
              </c:strCache>
            </c:strRef>
          </c:cat>
          <c:val>
            <c:numRef>
              <c:f>[图表.xls]反恐2!$E$10:$E$17</c:f>
              <c:numCache>
                <c:formatCode>General</c:formatCode>
                <c:ptCount val="8"/>
                <c:pt idx="0">
                  <c:v>3</c:v>
                </c:pt>
                <c:pt idx="1">
                  <c:v>4</c:v>
                </c:pt>
                <c:pt idx="2">
                  <c:v>4</c:v>
                </c:pt>
                <c:pt idx="3">
                  <c:v>4</c:v>
                </c:pt>
                <c:pt idx="4">
                  <c:v>2</c:v>
                </c:pt>
                <c:pt idx="5">
                  <c:v>2</c:v>
                </c:pt>
                <c:pt idx="6">
                  <c:v>3</c:v>
                </c:pt>
                <c:pt idx="7">
                  <c:v>1</c:v>
                </c:pt>
              </c:numCache>
            </c:numRef>
          </c:val>
        </c:ser>
        <c:dLbls>
          <c:showLegendKey val="0"/>
          <c:showVal val="0"/>
          <c:showCatName val="0"/>
          <c:showSerName val="0"/>
          <c:showPercent val="0"/>
          <c:showBubbleSize val="0"/>
        </c:dLbls>
        <c:axId val="509660624"/>
        <c:axId val="509661016"/>
      </c:radarChart>
      <c:catAx>
        <c:axId val="509660624"/>
        <c:scaling>
          <c:orientation val="minMax"/>
        </c:scaling>
        <c:delete val="0"/>
        <c:axPos val="b"/>
        <c:majorGridlines>
          <c:spPr>
            <a:ln w="3175" cap="flat" cmpd="sng" algn="ctr">
              <a:solidFill>
                <a:srgbClr val="808080">
                  <a:alpha val="100000"/>
                </a:srgbClr>
              </a:solidFill>
              <a:prstDash val="solid"/>
              <a:round/>
            </a:ln>
          </c:spPr>
        </c:majorGridlines>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661016"/>
        <c:crosses val="autoZero"/>
        <c:auto val="1"/>
        <c:lblAlgn val="ctr"/>
        <c:lblOffset val="100"/>
        <c:noMultiLvlLbl val="0"/>
      </c:catAx>
      <c:valAx>
        <c:axId val="5096610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660624"/>
        <c:crosses val="autoZero"/>
        <c:crossBetween val="between"/>
      </c:valAx>
      <c:spPr>
        <a:noFill/>
        <a:ln>
          <a:noFill/>
        </a:ln>
        <a:effectLst/>
      </c:spPr>
    </c:plotArea>
    <c:legend>
      <c:legendPos val="r"/>
      <c:layout>
        <c:manualLayout>
          <c:xMode val="edge"/>
          <c:yMode val="edge"/>
          <c:x val="0.35525"/>
          <c:y val="0.915"/>
          <c:w val="0.388888888888889"/>
          <c:h val="0.074332171893147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wrap="square"/>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771169354839"/>
          <c:y val="0.0872766100932899"/>
          <c:w val="0.527638888888889"/>
          <c:h val="0.747246262785208"/>
        </c:manualLayout>
      </c:layout>
      <c:radarChart>
        <c:radarStyle val="marker"/>
        <c:varyColors val="0"/>
        <c:ser>
          <c:idx val="0"/>
          <c:order val="0"/>
          <c:tx>
            <c:strRef>
              <c:f>[图表.xls]反恐2!$D$18</c:f>
              <c:strCache>
                <c:ptCount val="1"/>
                <c:pt idx="0">
                  <c:v>分值</c:v>
                </c:pt>
              </c:strCache>
            </c:strRef>
          </c:tx>
          <c:spPr>
            <a:ln w="28575" cap="rnd" cmpd="sng" algn="ctr">
              <a:solidFill>
                <a:schemeClr val="accent1"/>
              </a:solidFill>
              <a:prstDash val="solid"/>
              <a:round/>
            </a:ln>
            <a:effectLst/>
          </c:spPr>
          <c:marker>
            <c:symbol val="none"/>
          </c:marker>
          <c:dLbls>
            <c:delete val="1"/>
          </c:dLbls>
          <c:cat>
            <c:strRef>
              <c:f>[图表.xls]反恐2!$C$19:$C$31</c:f>
              <c:strCache>
                <c:ptCount val="13"/>
                <c:pt idx="0">
                  <c:v>系统升级改造完成率</c:v>
                </c:pt>
                <c:pt idx="1">
                  <c:v>培训任务完成率</c:v>
                </c:pt>
                <c:pt idx="2">
                  <c:v>考察调研任务完成率</c:v>
                </c:pt>
                <c:pt idx="3">
                  <c:v>机构改革任务完成率</c:v>
                </c:pt>
                <c:pt idx="4">
                  <c:v>实名制管理覆盖率</c:v>
                </c:pt>
                <c:pt idx="5">
                  <c:v>信息化系统正常运行率</c:v>
                </c:pt>
                <c:pt idx="6">
                  <c:v>培训覆盖率</c:v>
                </c:pt>
                <c:pt idx="7">
                  <c:v>考察调研覆盖率</c:v>
                </c:pt>
                <c:pt idx="8">
                  <c:v>维修（护）质量达标率</c:v>
                </c:pt>
                <c:pt idx="9">
                  <c:v>系统升级维护及时性</c:v>
                </c:pt>
                <c:pt idx="10">
                  <c:v>会议培训及时性</c:v>
                </c:pt>
                <c:pt idx="11">
                  <c:v>用电保障及时性</c:v>
                </c:pt>
                <c:pt idx="12">
                  <c:v>预算成本控制</c:v>
                </c:pt>
              </c:strCache>
            </c:strRef>
          </c:cat>
          <c:val>
            <c:numRef>
              <c:f>[图表.xls]反恐2!$D$19:$D$31</c:f>
              <c:numCache>
                <c:formatCode>General</c:formatCode>
                <c:ptCount val="13"/>
                <c:pt idx="0">
                  <c:v>4</c:v>
                </c:pt>
                <c:pt idx="1">
                  <c:v>4</c:v>
                </c:pt>
                <c:pt idx="2">
                  <c:v>4</c:v>
                </c:pt>
                <c:pt idx="3">
                  <c:v>5</c:v>
                </c:pt>
                <c:pt idx="4">
                  <c:v>3</c:v>
                </c:pt>
                <c:pt idx="5">
                  <c:v>3</c:v>
                </c:pt>
                <c:pt idx="6">
                  <c:v>2</c:v>
                </c:pt>
                <c:pt idx="7">
                  <c:v>2</c:v>
                </c:pt>
                <c:pt idx="8">
                  <c:v>2</c:v>
                </c:pt>
                <c:pt idx="9">
                  <c:v>2</c:v>
                </c:pt>
                <c:pt idx="10">
                  <c:v>2</c:v>
                </c:pt>
                <c:pt idx="11">
                  <c:v>2</c:v>
                </c:pt>
                <c:pt idx="12">
                  <c:v>2</c:v>
                </c:pt>
              </c:numCache>
            </c:numRef>
          </c:val>
        </c:ser>
        <c:ser>
          <c:idx val="1"/>
          <c:order val="1"/>
          <c:tx>
            <c:strRef>
              <c:f>[图表.xls]反恐2!$E$18</c:f>
              <c:strCache>
                <c:ptCount val="1"/>
                <c:pt idx="0">
                  <c:v>得分</c:v>
                </c:pt>
              </c:strCache>
            </c:strRef>
          </c:tx>
          <c:spPr>
            <a:ln w="28575" cap="rnd" cmpd="sng" algn="ctr">
              <a:solidFill>
                <a:schemeClr val="accent2"/>
              </a:solidFill>
              <a:prstDash val="solid"/>
              <a:round/>
            </a:ln>
            <a:effectLst/>
          </c:spPr>
          <c:marker>
            <c:symbol val="none"/>
          </c:marker>
          <c:dLbls>
            <c:delete val="1"/>
          </c:dLbls>
          <c:cat>
            <c:strRef>
              <c:f>[图表.xls]反恐2!$C$19:$C$31</c:f>
              <c:strCache>
                <c:ptCount val="13"/>
                <c:pt idx="0">
                  <c:v>系统升级改造完成率</c:v>
                </c:pt>
                <c:pt idx="1">
                  <c:v>培训任务完成率</c:v>
                </c:pt>
                <c:pt idx="2">
                  <c:v>考察调研任务完成率</c:v>
                </c:pt>
                <c:pt idx="3">
                  <c:v>机构改革任务完成率</c:v>
                </c:pt>
                <c:pt idx="4">
                  <c:v>实名制管理覆盖率</c:v>
                </c:pt>
                <c:pt idx="5">
                  <c:v>信息化系统正常运行率</c:v>
                </c:pt>
                <c:pt idx="6">
                  <c:v>培训覆盖率</c:v>
                </c:pt>
                <c:pt idx="7">
                  <c:v>考察调研覆盖率</c:v>
                </c:pt>
                <c:pt idx="8">
                  <c:v>维修（护）质量达标率</c:v>
                </c:pt>
                <c:pt idx="9">
                  <c:v>系统升级维护及时性</c:v>
                </c:pt>
                <c:pt idx="10">
                  <c:v>会议培训及时性</c:v>
                </c:pt>
                <c:pt idx="11">
                  <c:v>用电保障及时性</c:v>
                </c:pt>
                <c:pt idx="12">
                  <c:v>预算成本控制</c:v>
                </c:pt>
              </c:strCache>
            </c:strRef>
          </c:cat>
          <c:val>
            <c:numRef>
              <c:f>[图表.xls]反恐2!$E$19:$E$31</c:f>
              <c:numCache>
                <c:formatCode>General</c:formatCode>
                <c:ptCount val="13"/>
                <c:pt idx="0">
                  <c:v>4</c:v>
                </c:pt>
                <c:pt idx="1">
                  <c:v>4</c:v>
                </c:pt>
                <c:pt idx="2">
                  <c:v>4</c:v>
                </c:pt>
                <c:pt idx="3">
                  <c:v>5</c:v>
                </c:pt>
                <c:pt idx="4">
                  <c:v>3</c:v>
                </c:pt>
                <c:pt idx="5">
                  <c:v>2.9</c:v>
                </c:pt>
                <c:pt idx="6">
                  <c:v>2</c:v>
                </c:pt>
                <c:pt idx="7">
                  <c:v>2</c:v>
                </c:pt>
                <c:pt idx="8">
                  <c:v>2</c:v>
                </c:pt>
                <c:pt idx="9">
                  <c:v>2</c:v>
                </c:pt>
                <c:pt idx="10">
                  <c:v>2</c:v>
                </c:pt>
                <c:pt idx="11">
                  <c:v>2</c:v>
                </c:pt>
                <c:pt idx="12">
                  <c:v>2</c:v>
                </c:pt>
              </c:numCache>
            </c:numRef>
          </c:val>
        </c:ser>
        <c:dLbls>
          <c:showLegendKey val="0"/>
          <c:showVal val="0"/>
          <c:showCatName val="0"/>
          <c:showSerName val="0"/>
          <c:showPercent val="0"/>
          <c:showBubbleSize val="0"/>
        </c:dLbls>
        <c:axId val="509661800"/>
        <c:axId val="509662192"/>
      </c:radarChart>
      <c:catAx>
        <c:axId val="509661800"/>
        <c:scaling>
          <c:orientation val="minMax"/>
        </c:scaling>
        <c:delete val="0"/>
        <c:axPos val="b"/>
        <c:majorGridlines>
          <c:spPr>
            <a:ln w="3175" cap="flat" cmpd="sng" algn="ctr">
              <a:solidFill>
                <a:srgbClr val="808080">
                  <a:alpha val="100000"/>
                </a:srgbClr>
              </a:solidFill>
              <a:prstDash val="solid"/>
              <a:round/>
            </a:ln>
          </c:spPr>
        </c:majorGridlines>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662192"/>
        <c:crosses val="autoZero"/>
        <c:auto val="1"/>
        <c:lblAlgn val="ctr"/>
        <c:lblOffset val="100"/>
        <c:noMultiLvlLbl val="0"/>
      </c:catAx>
      <c:valAx>
        <c:axId val="509662192"/>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09661800"/>
        <c:crosses val="autoZero"/>
        <c:crossBetween val="between"/>
      </c:valAx>
      <c:spPr>
        <a:noFill/>
        <a:ln>
          <a:noFill/>
        </a:ln>
        <a:effectLst/>
      </c:spPr>
    </c:plotArea>
    <c:legend>
      <c:legendPos val="r"/>
      <c:layout>
        <c:manualLayout>
          <c:xMode val="edge"/>
          <c:yMode val="edge"/>
          <c:x val="0.35525"/>
          <c:y val="0.915"/>
          <c:w val="0.38875"/>
          <c:h val="0.07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wrap="square"/>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280771169354839"/>
          <c:y val="0.0872766100932899"/>
          <c:w val="0.527638888888889"/>
          <c:h val="0.747246262785208"/>
        </c:manualLayout>
      </c:layout>
      <c:radarChart>
        <c:radarStyle val="marker"/>
        <c:varyColors val="0"/>
        <c:ser>
          <c:idx val="0"/>
          <c:order val="0"/>
          <c:tx>
            <c:strRef>
              <c:f>[图表.xls]反恐2!$D$32</c:f>
              <c:strCache>
                <c:ptCount val="1"/>
                <c:pt idx="0">
                  <c:v>分值</c:v>
                </c:pt>
              </c:strCache>
            </c:strRef>
          </c:tx>
          <c:spPr>
            <a:ln w="28575" cap="rnd" cmpd="sng" algn="ctr">
              <a:solidFill>
                <a:schemeClr val="accent1"/>
              </a:solidFill>
              <a:prstDash val="solid"/>
              <a:round/>
            </a:ln>
            <a:effectLst/>
          </c:spPr>
          <c:marker>
            <c:symbol val="none"/>
          </c:marker>
          <c:dLbls>
            <c:delete val="1"/>
          </c:dLbls>
          <c:cat>
            <c:strRef>
              <c:f>[图表.xls]反恐2!$C$33:$C$40</c:f>
              <c:strCache>
                <c:ptCount val="8"/>
                <c:pt idx="0">
                  <c:v>巩固深化机构改革成果</c:v>
                </c:pt>
                <c:pt idx="1">
                  <c:v>优化编制资源配置</c:v>
                </c:pt>
                <c:pt idx="2">
                  <c:v>推进重点领域改革</c:v>
                </c:pt>
                <c:pt idx="3">
                  <c:v>提升机构编制法治意识</c:v>
                </c:pt>
                <c:pt idx="4">
                  <c:v>提升机构编制管理服务水平</c:v>
                </c:pt>
                <c:pt idx="5">
                  <c:v>建立部门协作机制</c:v>
                </c:pt>
                <c:pt idx="6">
                  <c:v>建立信息共享机制</c:v>
                </c:pt>
                <c:pt idx="7">
                  <c:v>受益对象满意度</c:v>
                </c:pt>
              </c:strCache>
            </c:strRef>
          </c:cat>
          <c:val>
            <c:numRef>
              <c:f>[图表.xls]反恐2!$D$33:$D$40</c:f>
              <c:numCache>
                <c:formatCode>General</c:formatCode>
                <c:ptCount val="8"/>
                <c:pt idx="0">
                  <c:v>3</c:v>
                </c:pt>
                <c:pt idx="1">
                  <c:v>3</c:v>
                </c:pt>
                <c:pt idx="2">
                  <c:v>3</c:v>
                </c:pt>
                <c:pt idx="3">
                  <c:v>3</c:v>
                </c:pt>
                <c:pt idx="4">
                  <c:v>3</c:v>
                </c:pt>
                <c:pt idx="5">
                  <c:v>3</c:v>
                </c:pt>
                <c:pt idx="6">
                  <c:v>3</c:v>
                </c:pt>
                <c:pt idx="7">
                  <c:v>5</c:v>
                </c:pt>
              </c:numCache>
            </c:numRef>
          </c:val>
        </c:ser>
        <c:ser>
          <c:idx val="1"/>
          <c:order val="1"/>
          <c:tx>
            <c:strRef>
              <c:f>[图表.xls]反恐2!$E$32</c:f>
              <c:strCache>
                <c:ptCount val="1"/>
                <c:pt idx="0">
                  <c:v>得分</c:v>
                </c:pt>
              </c:strCache>
            </c:strRef>
          </c:tx>
          <c:spPr>
            <a:ln w="28575" cap="rnd" cmpd="sng" algn="ctr">
              <a:solidFill>
                <a:schemeClr val="accent2"/>
              </a:solidFill>
              <a:prstDash val="solid"/>
              <a:round/>
            </a:ln>
            <a:effectLst/>
          </c:spPr>
          <c:marker>
            <c:symbol val="none"/>
          </c:marker>
          <c:dLbls>
            <c:delete val="1"/>
          </c:dLbls>
          <c:cat>
            <c:strRef>
              <c:f>[图表.xls]反恐2!$C$33:$C$40</c:f>
              <c:strCache>
                <c:ptCount val="8"/>
                <c:pt idx="0">
                  <c:v>巩固深化机构改革成果</c:v>
                </c:pt>
                <c:pt idx="1">
                  <c:v>优化编制资源配置</c:v>
                </c:pt>
                <c:pt idx="2">
                  <c:v>推进重点领域改革</c:v>
                </c:pt>
                <c:pt idx="3">
                  <c:v>提升机构编制法治意识</c:v>
                </c:pt>
                <c:pt idx="4">
                  <c:v>提升机构编制管理服务水平</c:v>
                </c:pt>
                <c:pt idx="5">
                  <c:v>建立部门协作机制</c:v>
                </c:pt>
                <c:pt idx="6">
                  <c:v>建立信息共享机制</c:v>
                </c:pt>
                <c:pt idx="7">
                  <c:v>受益对象满意度</c:v>
                </c:pt>
              </c:strCache>
            </c:strRef>
          </c:cat>
          <c:val>
            <c:numRef>
              <c:f>[图表.xls]反恐2!$E$33:$E$40</c:f>
              <c:numCache>
                <c:formatCode>General</c:formatCode>
                <c:ptCount val="8"/>
                <c:pt idx="0">
                  <c:v>2.9</c:v>
                </c:pt>
                <c:pt idx="1">
                  <c:v>3</c:v>
                </c:pt>
                <c:pt idx="2">
                  <c:v>2.9</c:v>
                </c:pt>
                <c:pt idx="3">
                  <c:v>3</c:v>
                </c:pt>
                <c:pt idx="4">
                  <c:v>3</c:v>
                </c:pt>
                <c:pt idx="5">
                  <c:v>3</c:v>
                </c:pt>
                <c:pt idx="6">
                  <c:v>3</c:v>
                </c:pt>
                <c:pt idx="7">
                  <c:v>5</c:v>
                </c:pt>
              </c:numCache>
            </c:numRef>
          </c:val>
        </c:ser>
        <c:dLbls>
          <c:showLegendKey val="0"/>
          <c:showVal val="0"/>
          <c:showCatName val="0"/>
          <c:showSerName val="0"/>
          <c:showPercent val="0"/>
          <c:showBubbleSize val="0"/>
        </c:dLbls>
        <c:axId val="511536824"/>
        <c:axId val="511537216"/>
      </c:radarChart>
      <c:catAx>
        <c:axId val="511536824"/>
        <c:scaling>
          <c:orientation val="minMax"/>
        </c:scaling>
        <c:delete val="0"/>
        <c:axPos val="b"/>
        <c:majorGridlines>
          <c:spPr>
            <a:ln w="3175" cap="flat" cmpd="sng" algn="ctr">
              <a:solidFill>
                <a:srgbClr val="808080">
                  <a:alpha val="100000"/>
                </a:srgbClr>
              </a:solidFill>
              <a:prstDash val="solid"/>
              <a:round/>
            </a:ln>
          </c:spPr>
        </c:majorGridlines>
        <c:numFmt formatCode="General" sourceLinked="0"/>
        <c:majorTickMark val="out"/>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537216"/>
        <c:crosses val="autoZero"/>
        <c:auto val="1"/>
        <c:lblAlgn val="ctr"/>
        <c:lblOffset val="100"/>
        <c:noMultiLvlLbl val="0"/>
      </c:catAx>
      <c:valAx>
        <c:axId val="51153721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out"/>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11536824"/>
        <c:crosses val="autoZero"/>
        <c:crossBetween val="between"/>
      </c:valAx>
      <c:spPr>
        <a:noFill/>
        <a:ln>
          <a:noFill/>
        </a:ln>
        <a:effectLst/>
      </c:spPr>
    </c:plotArea>
    <c:legend>
      <c:legendPos val="r"/>
      <c:layout>
        <c:manualLayout>
          <c:xMode val="edge"/>
          <c:yMode val="edge"/>
          <c:x val="0.35525"/>
          <c:y val="0.915"/>
          <c:w val="0.38875"/>
          <c:h val="0.074"/>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prstDash val="solid"/>
      <a:round/>
    </a:ln>
    <a:effectLst/>
  </c:spPr>
  <c:txPr>
    <a:bodyPr wrap="square"/>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c:explosion val="0"/>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rgbClr val="C00000"/>
              </a:solidFill>
              <a:ln w="19050">
                <a:solidFill>
                  <a:schemeClr val="lt1"/>
                </a:solidFill>
              </a:ln>
              <a:effectLst/>
            </c:spPr>
          </c:dPt>
          <c:dLbls>
            <c:dLbl>
              <c:idx val="3"/>
              <c:layout>
                <c:manualLayout>
                  <c:x val="0.0833333333333333"/>
                  <c:y val="0.0173611111111111"/>
                </c:manualLayout>
              </c:layout>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[数据分析.xlsx]满意度!$B$7:$E$7</c:f>
              <c:strCache>
                <c:ptCount val="4"/>
                <c:pt idx="0">
                  <c:v>非常满意</c:v>
                </c:pt>
                <c:pt idx="1">
                  <c:v>满意</c:v>
                </c:pt>
                <c:pt idx="2">
                  <c:v>不满意</c:v>
                </c:pt>
                <c:pt idx="3">
                  <c:v>非常不满意</c:v>
                </c:pt>
              </c:strCache>
            </c:strRef>
          </c:cat>
          <c:val>
            <c:numRef>
              <c:f>[数据分析.xlsx]满意度!$B$8:$E$8</c:f>
              <c:numCache>
                <c:formatCode>0.00%</c:formatCode>
                <c:ptCount val="4"/>
                <c:pt idx="0">
                  <c:v>0.8519</c:v>
                </c:pt>
                <c:pt idx="1">
                  <c:v>0.1481</c:v>
                </c:pt>
                <c:pt idx="2">
                  <c:v>0.181818181818182</c:v>
                </c:pt>
                <c:pt idx="3">
                  <c:v>0</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noFill/>
    <a:ln w="9525" cap="flat" cmpd="sng" algn="ctr">
      <a:no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70</Pages>
  <Words>4678</Words>
  <Characters>26670</Characters>
  <Lines>222</Lines>
  <Paragraphs>62</Paragraphs>
  <TotalTime>52</TotalTime>
  <ScaleCrop>false</ScaleCrop>
  <LinksUpToDate>false</LinksUpToDate>
  <CharactersWithSpaces>31286</CharactersWithSpaces>
  <Application>WPS Office_11.1.0.10359_F1E327BC-269C-435d-A152-05C5408002CA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2021-07-28T01:56:00Z</dcterms:created>
  <dc:creator>似水迷雾</dc:creator>
  <cp:lastModifiedBy>pc</cp:lastModifiedBy>
  <cp:lastPrinted>2021-06-01T08:09:00Z</cp:lastPrinted>
  <dcterms:modified xsi:type="dcterms:W3CDTF">2021-08-26T07:50:03Z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2052-11.1.0.10359</vt:lpwstr>
  </property>
  <property fmtid="{D5CDD505-2E9C-101B-9397-08002B2CF9AE}" pid="3" name="ICV">
    <vt:lpwstr>C7C8D79E62F143B99C9AD7CA5E09C205</vt:lpwstr>
  </property>
</Properties>
</file>